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4.xml" ContentType="application/vnd.openxmlformats-officedocument.customXmlProperti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  <w:widowControl w:val="off"/>
        <w:rPr>
          <w:rFonts w:ascii="Times New Roman" w:hAnsi="Times New Roman" w:cs="Times New Roman"/>
          <w:sz w:val="24"/>
          <w:szCs w:val="24"/>
        </w:rPr>
      </w:pPr>
      <w:r/>
      <w:r>
        <w:rPr>
          <w:rFonts w:ascii="Times New Roman" w:hAnsi="Times New Roman" w:cs="Times New Roman"/>
          <w:sz w:val="24"/>
          <w:szCs w:val="24"/>
        </w:rPr>
      </w:r>
    </w:p>
    <w:p>
      <w:pPr>
        <w:ind w:left="4859" w:right="-20" w:hanging="10"/>
        <w:jc w:val="right"/>
        <w:spacing w:after="5" w:line="26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ind w:left="4859" w:right="-20" w:hanging="10"/>
        <w:jc w:val="right"/>
        <w:spacing w:after="5" w:line="266" w:lineRule="auto"/>
      </w:pPr>
      <w:r>
        <w:rPr>
          <w:rFonts w:ascii="Times New Roman" w:hAnsi="Times New Roman" w:cs="Times New Roman"/>
          <w:sz w:val="24"/>
        </w:rPr>
        <w:t xml:space="preserve">Приложение </w:t>
      </w:r>
      <w:r/>
    </w:p>
    <w:p>
      <w:pPr>
        <w:ind w:left="10" w:right="-20" w:hanging="10"/>
        <w:jc w:val="right"/>
        <w:spacing w:after="5" w:line="266" w:lineRule="auto"/>
      </w:pPr>
      <w:r>
        <w:rPr>
          <w:rFonts w:ascii="Times New Roman" w:hAnsi="Times New Roman" w:cs="Times New Roman"/>
          <w:sz w:val="24"/>
        </w:rPr>
        <w:t xml:space="preserve">             к программе </w:t>
      </w:r>
      <w:r>
        <w:rPr>
          <w:rFonts w:ascii="Times New Roman" w:hAnsi="Times New Roman" w:cs="Times New Roman"/>
          <w:sz w:val="24"/>
        </w:rPr>
        <w:t xml:space="preserve">ГИА</w:t>
      </w:r>
      <w:r/>
    </w:p>
    <w:p>
      <w:pPr>
        <w:ind w:right="-20"/>
        <w:spacing w:after="26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ind w:right="-20"/>
        <w:spacing w:after="26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ind w:right="-20"/>
        <w:spacing w:after="268"/>
      </w:pPr>
      <w:r/>
      <w:r/>
    </w:p>
    <w:p>
      <w:pPr>
        <w:ind w:right="-20"/>
        <w:spacing w:after="268"/>
      </w:pPr>
      <w:r/>
      <w:r/>
    </w:p>
    <w:p>
      <w:pPr>
        <w:ind w:left="0" w:right="0" w:firstLine="0"/>
        <w:jc w:val="center"/>
        <w:spacing w:line="253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ОЦЕНОЧНЫЕ МАТЕРИАЛЫ </w:t>
        <w:br/>
        <w:t xml:space="preserve"> ДЛЯ ГОСУДАРСТВЕННОЙ ИТОГОВОЙ АТТЕСТАЦИИ</w:t>
      </w:r>
      <w:r/>
    </w:p>
    <w:p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4"/>
          <w:highlight w:val="none"/>
        </w:rPr>
      </w:r>
      <w:r>
        <w:rPr>
          <w:rFonts w:ascii="Times New Roman" w:hAnsi="Times New Roman" w:cs="Times New Roman"/>
          <w:szCs w:val="24"/>
          <w:highlight w:val="none"/>
        </w:rPr>
      </w:r>
    </w:p>
    <w:p>
      <w:pPr>
        <w:jc w:val="center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Cs w:val="24"/>
          <w:highlight w:val="none"/>
        </w:rPr>
      </w:r>
      <w:r>
        <w:rPr>
          <w:rFonts w:ascii="Times New Roman" w:hAnsi="Times New Roman" w:cs="Times New Roman"/>
          <w:szCs w:val="24"/>
          <w:highlight w:val="none"/>
        </w:rPr>
      </w:r>
    </w:p>
    <w:p>
      <w:pPr>
        <w:jc w:val="center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Cs w:val="24"/>
        </w:rPr>
        <w:t xml:space="preserve">Направление подготовки / специальность</w:t>
      </w:r>
      <w:r>
        <w:rPr>
          <w:rFonts w:ascii="Times New Roman" w:hAnsi="Times New Roman" w:cs="Times New Roman"/>
          <w:highlight w:val="none"/>
        </w:rPr>
      </w:r>
    </w:p>
    <w:p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 xml:space="preserve">23.05.0</w:t>
      </w:r>
      <w:r>
        <w:rPr>
          <w:rFonts w:ascii="Times New Roman" w:hAnsi="Times New Roman"/>
          <w:color w:val="000000"/>
          <w:sz w:val="32"/>
          <w:szCs w:val="32"/>
        </w:rPr>
        <w:t xml:space="preserve">3</w:t>
      </w:r>
      <w:r>
        <w:rPr>
          <w:rFonts w:ascii="Times New Roman" w:hAnsi="Times New Roman"/>
          <w:color w:val="000000"/>
          <w:sz w:val="32"/>
          <w:szCs w:val="32"/>
        </w:rPr>
        <w:t xml:space="preserve"> </w:t>
      </w:r>
      <w:r>
        <w:rPr>
          <w:rFonts w:ascii="Times New Roman" w:hAnsi="Times New Roman"/>
          <w:color w:val="000000"/>
          <w:sz w:val="32"/>
          <w:szCs w:val="32"/>
        </w:rPr>
        <w:t xml:space="preserve">Подвижной состав железных дорог</w:t>
      </w:r>
      <w:r>
        <w:rPr>
          <w:rFonts w:ascii="Times New Roman" w:hAnsi="Times New Roman" w:cs="Times New Roman"/>
          <w:sz w:val="32"/>
          <w:szCs w:val="32"/>
        </w:rPr>
      </w:r>
    </w:p>
    <w:p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____________________________________________________________________</w:t>
      </w:r>
      <w:r>
        <w:rPr>
          <w:rFonts w:ascii="Times New Roman" w:hAnsi="Times New Roman" w:cs="Times New Roman"/>
          <w:szCs w:val="24"/>
        </w:rPr>
        <w:t xml:space="preserve">_</w:t>
      </w:r>
      <w:r>
        <w:rPr>
          <w:rFonts w:ascii="Times New Roman" w:hAnsi="Times New Roman" w:cs="Times New Roman"/>
          <w:szCs w:val="24"/>
        </w:rPr>
        <w:t xml:space="preserve">_______</w:t>
      </w:r>
      <w:r>
        <w:rPr>
          <w:rFonts w:ascii="Times New Roman" w:hAnsi="Times New Roman" w:cs="Times New Roman"/>
          <w:szCs w:val="24"/>
        </w:rPr>
      </w:r>
    </w:p>
    <w:p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(код и наименование)</w:t>
      </w: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r>
    </w:p>
    <w:p>
      <w:pPr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Направленность (профиль)/специализация</w:t>
      </w:r>
      <w:r>
        <w:rPr>
          <w:rFonts w:ascii="Times New Roman" w:hAnsi="Times New Roman" w:cs="Times New Roman"/>
          <w:iCs/>
        </w:rPr>
      </w:r>
    </w:p>
    <w:p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 xml:space="preserve">Грузовые вагоны</w:t>
      </w:r>
      <w:r>
        <w:rPr>
          <w:rFonts w:ascii="Times New Roman" w:hAnsi="Times New Roman" w:cs="Times New Roman"/>
          <w:iCs/>
          <w:sz w:val="32"/>
          <w:szCs w:val="32"/>
        </w:rPr>
        <w:t xml:space="preserve"> </w:t>
      </w:r>
      <w:r>
        <w:rPr>
          <w:rFonts w:ascii="Times New Roman" w:hAnsi="Times New Roman" w:cs="Times New Roman"/>
          <w:iCs/>
          <w:sz w:val="32"/>
          <w:szCs w:val="32"/>
        </w:rPr>
      </w:r>
    </w:p>
    <w:p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________________________________________________________________</w:t>
      </w:r>
      <w:r>
        <w:rPr>
          <w:rFonts w:ascii="Times New Roman" w:hAnsi="Times New Roman" w:cs="Times New Roman"/>
          <w:iCs/>
          <w:sz w:val="24"/>
          <w:szCs w:val="24"/>
        </w:rPr>
        <w:t xml:space="preserve">_______</w:t>
      </w:r>
      <w:r>
        <w:rPr>
          <w:rFonts w:ascii="Times New Roman" w:hAnsi="Times New Roman" w:cs="Times New Roman"/>
          <w:iCs/>
          <w:sz w:val="24"/>
          <w:szCs w:val="24"/>
        </w:rPr>
        <w:t xml:space="preserve">____</w:t>
      </w: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r>
    </w:p>
    <w:p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(наименование)</w:t>
      </w:r>
      <w:r>
        <w:rPr>
          <w:rFonts w:ascii="Times New Roman" w:hAnsi="Times New Roman" w:cs="Times New Roman"/>
          <w:szCs w:val="24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 w:clear="all"/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68"/>
        <w:numPr>
          <w:ilvl w:val="0"/>
          <w:numId w:val="43"/>
        </w:numPr>
        <w:jc w:val="center"/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Пояснительная записка</w:t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</w:p>
    <w:p>
      <w:pPr>
        <w:pStyle w:val="768"/>
        <w:ind w:left="928"/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</w:r>
      <w:r>
        <w:rPr>
          <w:rFonts w:ascii="Times New Roman" w:hAnsi="Times New Roman"/>
          <w:b/>
          <w:color w:val="000000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>
        <w:tab/>
      </w:r>
      <w:r>
        <w:rPr>
          <w:rFonts w:ascii="Times New Roman" w:hAnsi="Times New Roman" w:cs="Times New Roman"/>
          <w:sz w:val="24"/>
          <w:szCs w:val="24"/>
        </w:rPr>
        <w:t xml:space="preserve">Цель государственной итоговой аттестации.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Государственная итоговая аттестация (ГИА) проводится в целях определения соответствия результатов освоения обучающимися основной образовательной программы требованиям федерального государственного образовательного стандарта.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Целью выполнения выпускной квалификационной работы является обобщение, систематизация и применение в процессе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освоения образовательной программы полученных знаний и навыков, предусмотренных этапами формирования компетенций, установленных ФГОС ВО и Основной профессиональной образовательной программой. Целью защиты ВКР является установление уровня подготовки выпускн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ика по образовательной программе специалитета «Грузовые вагоны» специальности 23.05.03 «Подвижной состав железных дорог» к выполнению профессиональных задач и соответствия его подготовки требованиям федерального государственного образовательного стандарта.</w:t>
      </w:r>
      <w:r>
        <w:rPr>
          <w:rFonts w:ascii="Times New Roman" w:hAnsi="Times New Roman" w:cs="Times New Roman"/>
          <w:sz w:val="24"/>
          <w:szCs w:val="24"/>
          <w:lang w:eastAsia="en-US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</w:t>
      </w:r>
      <w:r>
        <w:rPr>
          <w:rFonts w:ascii="Times New Roman" w:hAnsi="Times New Roman" w:cs="Times New Roman"/>
          <w:sz w:val="24"/>
          <w:szCs w:val="24"/>
        </w:rPr>
        <w:t xml:space="preserve"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государственной итоговой аттестации – защита выпускной квалификационной работы (ВКР) – дипломного проекта в 10 семестре (очная форма обучения), на 6 курсе (заочная форма обучения)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i/>
          <w:color w:val="ff0000"/>
        </w:rPr>
      </w:pPr>
      <w:r>
        <w:rPr>
          <w:color w:val="ff0000"/>
        </w:rPr>
        <w:t xml:space="preserve"> </w:t>
      </w:r>
      <w:r>
        <w:rPr>
          <w:i/>
          <w:color w:val="ff0000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освоения дисциплины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53"/>
      </w:tblGrid>
      <w:tr>
        <w:tblPrEx/>
        <w:trPr>
          <w:trHeight w:val="536" w:hRule="exact"/>
        </w:trPr>
        <w:tc>
          <w:tcPr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308" w:hRule="exact"/>
        </w:trPr>
        <w:tc>
          <w:tcPr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ОПК-1.1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Применяет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методы высшей математики для решения задач профессиональной деятельности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308" w:hRule="exact"/>
        </w:trPr>
        <w:tc>
          <w:tcPr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ОПК-1.2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Применяет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основные понятия и законы естественных наук для решения предметно-профильных задач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ОПК-1.3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Применяет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естественнонаучные методы теоретического и экспериментального исследования объектов, процессов, явлений; проводит эксперименты по заданной методике и анализирует результаты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ОПК-1.4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Применяет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756" w:hRule="exact"/>
        </w:trPr>
        <w:tc>
          <w:tcPr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ОПК-1.5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Применяет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для решения экологических проблем инженерные методы и современные научные знания о проектах и конструкциях технических устройств, предусматривающих сохранение экологического равновесия и обеспечивающих безопасность жизнедеятельности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756" w:hRule="exact"/>
        </w:trPr>
        <w:tc>
          <w:tcPr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ОПК-1.6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Применяет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основные понятия и законы электротехники для расчета электрических цепей, характеристик электрических машин, механической и электрической части электропривода технологических установок транспортных объектов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ОПК-10: Способен формулировать и решать научно-технические задачи в области своей профессиональной деятельности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ОПК-10.1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Осуществляет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отбор и анализ научно-технической информации, предлагает эффективные решения инженерных задач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308" w:hRule="exact"/>
        </w:trPr>
        <w:tc>
          <w:tcPr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ОПК-10.2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Использует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основные методы и технологии искусственного интеллекта для решения типовых задач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ОПК-10.3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Решает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задачи в области профессиональной деятельности, используя перспективные методы машинного обучения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ОПК-2: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ОПК-2.1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Определяет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способы решения стандартных задач на основе принципов работы современных информационных технологий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ОПК-2.2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Использует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современные информационные технологии для решения задач профессиональной деятельности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ОПК-3: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ОПК-3.1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Применяет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нормативную правовую базу в сфере социально-правовых отношений и профессиональной деятельности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ОПК-3.2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Решает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ОПК-3.3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Использует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теоретические основы и опыт производства для принятия решений в области эксплуатации железнодорожного транспорта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ОПК-4: Способен выполнять проектирование и расчет транспортных объектов в соответствии с требованиями нормативных документов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</w:tbl>
    <w:p>
      <w:pPr>
        <w:rPr>
          <w:rFonts w:ascii="Calibri" w:hAnsi="Calibri" w:eastAsia="Times New Roman" w:cs="Times New Roman"/>
          <w:sz w:val="0"/>
          <w:szCs w:val="0"/>
          <w:lang w:eastAsia="en-US"/>
        </w:rPr>
      </w:pPr>
      <w:r>
        <w:rPr>
          <w:rFonts w:ascii="Calibri" w:hAnsi="Calibri" w:eastAsia="Times New Roman" w:cs="Times New Roman"/>
          <w:lang w:eastAsia="en-US"/>
        </w:rPr>
        <w:br w:type="page" w:clear="all"/>
      </w:r>
      <w:r>
        <w:rPr>
          <w:rFonts w:ascii="Calibri" w:hAnsi="Calibri" w:eastAsia="Times New Roman" w:cs="Times New Roman"/>
          <w:sz w:val="0"/>
          <w:szCs w:val="0"/>
          <w:lang w:eastAsia="en-US"/>
        </w:rPr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9"/>
        <w:gridCol w:w="5089"/>
        <w:gridCol w:w="1005"/>
      </w:tblGrid>
      <w:tr>
        <w:tblPrEx/>
        <w:trPr>
          <w:trHeight w:val="416" w:hRule="exact"/>
        </w:trPr>
        <w:tc>
          <w:tcPr>
            <w:shd w:val="clear" w:color="c0c0c0" w:fill="ffffff"/>
            <w:tcMar>
              <w:left w:w="34" w:type="dxa"/>
              <w:right w:w="34" w:type="dxa"/>
            </w:tcMar>
            <w:tcW w:w="46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Calibri" w:hAnsi="Calibri" w:eastAsia="Times New Roman" w:cs="Times New Roman"/>
                <w:sz w:val="16"/>
                <w:szCs w:val="16"/>
                <w:lang w:eastAsia="en-US"/>
              </w:rPr>
            </w:r>
            <w:r>
              <w:rPr>
                <w:rFonts w:ascii="Calibri" w:hAnsi="Calibri" w:eastAsia="Times New Roman" w:cs="Times New Roman"/>
                <w:sz w:val="16"/>
                <w:szCs w:val="16"/>
                <w:lang w:eastAsia="en-US"/>
              </w:rPr>
            </w:r>
          </w:p>
        </w:tc>
        <w:tc>
          <w:tcPr>
            <w:tcW w:w="5104" w:type="dxa"/>
            <w:textDirection w:val="lrTb"/>
            <w:noWrap w:val="false"/>
          </w:tcPr>
          <w:p>
            <w:pPr>
              <w:rPr>
                <w:rFonts w:ascii="Calibri" w:hAnsi="Calibri" w:eastAsia="Times New Roman" w:cs="Times New Roman"/>
                <w:lang w:eastAsia="en-US"/>
              </w:rPr>
            </w:pPr>
            <w:r>
              <w:rPr>
                <w:rFonts w:ascii="Calibri" w:hAnsi="Calibri" w:eastAsia="Times New Roman" w:cs="Times New Roman"/>
                <w:lang w:eastAsia="en-US"/>
              </w:rPr>
            </w:r>
            <w:r>
              <w:rPr>
                <w:rFonts w:ascii="Calibri" w:hAnsi="Calibri" w:eastAsia="Times New Roman" w:cs="Times New Roman"/>
                <w:lang w:eastAsia="en-US"/>
              </w:rPr>
            </w:r>
          </w:p>
        </w:tc>
        <w:tc>
          <w:tcPr>
            <w:shd w:val="clear" w:color="c0c0c0" w:fill="ffffff"/>
            <w:tcMar>
              <w:left w:w="34" w:type="dxa"/>
              <w:right w:w="34" w:type="dxa"/>
            </w:tcMar>
            <w:tcW w:w="1007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Calibri" w:hAnsi="Calibri" w:eastAsia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Calibri" w:hAnsi="Calibri" w:eastAsia="Times New Roman" w:cs="Times New Roman"/>
                <w:sz w:val="16"/>
                <w:szCs w:val="16"/>
                <w:lang w:eastAsia="en-US"/>
              </w:rPr>
            </w:r>
            <w:r>
              <w:rPr>
                <w:rFonts w:ascii="Calibri" w:hAnsi="Calibri" w:eastAsia="Times New Roman" w:cs="Times New Roman"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ОПК-4.1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Выполняет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технические чертежи, построение двухмерных и трехмерных графических моделей инженерных объектов и сооружений, в том числе с использованием цифровых инструментов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ОПК-4.2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Определяет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силы реакций, действующих на тело, скорости и ускорения точек тела в различных видах движений, анализирует кинематические схемы механических систем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ОПК-4.3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Использует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методы расчета показателей надежности работы оборудования при проектировании и эксплуатации технических систем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ОПК-4.4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Обосновывает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выбор материала при конструировании и проведении ремонта деталей техники с учетом требований технологичности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ОПК-4.5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Оценивает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эффективность применяемых методов производства и обработки конструкционных материалов при решении инженерных задач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ОПК-4.6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Оценивает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предельное напряженно-деформированное состояние элементов конструкции машин при проведении расчетов и проектировании технических систем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ОПК-4.7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Применяет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методы теории механизмов и машин при проведении расчетов и проектировании технических систем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ОПК-4.8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Оценивает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функциональные возможности механизмов разных видов путем проведения инженерных расчетов типовых деталей машин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75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ОПК-5: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ОПК-5.1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Разрабатывает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отдельные этапы технологических процессов производства, ремонта, эксплуатации и обслуживания транспортных систем и сетей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308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ОПК-5.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2:  Анализирует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, планирует и контролирует технологические процессы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75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ОПК-6: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ОПК-6.1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Проводит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оценку состояния безопасности транспортных объектов, разрабатывает мероприятия по повышению уровня транспортной безопасности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ОПК-6.2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Планирует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и организует мероприятия с учетом требований по обеспечению безопасности движения поездов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308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ОПК-6.3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Организует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контроль технического состояния тормозных систем подвижного состава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97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ОПК-7: Способен организовывать работу предприятий и его подразделений, направлять деятельность на развитие производства и материально-тех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ОПК-7.1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Принимает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обоснованные управленческие решения на основе теоретических знаний по экономике и организации производства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ОПК-7.2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Разрабатывает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мероприятия по развитию материально- технической базы, внедрению новой техники на основе рационального и эффективного использования технических и материальных ресурсов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ОПК-7.3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Планирует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ОПК-8: Способен руководить работой по подготовке, переподготовке, повышению квалификации и воспитанию кадров, заключать трудовые договоры и дополнительные соглашения к ним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308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ОПК-8.1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Организует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и координирует работу по обучению и развитию кадров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308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ОПК-8.2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Составляет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трудовые договоры и дополнительные соглашения к ним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ОПК-9: Способен контролировать правильность применения системы оплаты труда и материального и нематериального стимулирования работников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308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ОПК-9.1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Определяет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правильность применения оплаты труда работников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ОПК-9.2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Применяет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методы материального и нематериального стимулирования для повышения эффективности работы персонала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ПК-1: Способен определять типы, комплектность, конструктивные особенности, технико-экономические параметры и техническое состояние единиц подвижного состава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ПК-1.1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Определяет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типы и комплектность, оценивает технико-экономические параметры единиц подвижного состава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ПК-1.2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Анализирует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конструктивные особенности узлов и деталей, оценивает техническое состояние подвижного состава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</w:tbl>
    <w:p>
      <w:pPr>
        <w:rPr>
          <w:rFonts w:ascii="Calibri" w:hAnsi="Calibri" w:eastAsia="Times New Roman" w:cs="Times New Roman"/>
          <w:sz w:val="0"/>
          <w:szCs w:val="0"/>
          <w:lang w:eastAsia="en-US"/>
        </w:rPr>
      </w:pPr>
      <w:r>
        <w:rPr>
          <w:rFonts w:ascii="Calibri" w:hAnsi="Calibri" w:eastAsia="Times New Roman" w:cs="Times New Roman"/>
          <w:lang w:eastAsia="en-US"/>
        </w:rPr>
        <w:br w:type="page" w:clear="all"/>
      </w:r>
      <w:r>
        <w:rPr>
          <w:rFonts w:ascii="Calibri" w:hAnsi="Calibri" w:eastAsia="Times New Roman" w:cs="Times New Roman"/>
          <w:sz w:val="0"/>
          <w:szCs w:val="0"/>
          <w:lang w:eastAsia="en-US"/>
        </w:rPr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9"/>
        <w:gridCol w:w="5089"/>
        <w:gridCol w:w="1005"/>
      </w:tblGrid>
      <w:tr>
        <w:tblPrEx/>
        <w:trPr>
          <w:trHeight w:val="416" w:hRule="exact"/>
        </w:trPr>
        <w:tc>
          <w:tcPr>
            <w:shd w:val="clear" w:color="c0c0c0" w:fill="ffffff"/>
            <w:tcMar>
              <w:left w:w="34" w:type="dxa"/>
              <w:right w:w="34" w:type="dxa"/>
            </w:tcMar>
            <w:tcW w:w="46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Calibri" w:hAnsi="Calibri" w:eastAsia="Times New Roman" w:cs="Times New Roman"/>
                <w:sz w:val="16"/>
                <w:szCs w:val="16"/>
                <w:lang w:eastAsia="en-US"/>
              </w:rPr>
            </w:r>
            <w:r>
              <w:rPr>
                <w:rFonts w:ascii="Calibri" w:hAnsi="Calibri" w:eastAsia="Times New Roman" w:cs="Times New Roman"/>
                <w:sz w:val="16"/>
                <w:szCs w:val="16"/>
                <w:lang w:eastAsia="en-US"/>
              </w:rPr>
            </w:r>
          </w:p>
        </w:tc>
        <w:tc>
          <w:tcPr>
            <w:tcW w:w="5104" w:type="dxa"/>
            <w:textDirection w:val="lrTb"/>
            <w:noWrap w:val="false"/>
          </w:tcPr>
          <w:p>
            <w:pPr>
              <w:rPr>
                <w:rFonts w:ascii="Calibri" w:hAnsi="Calibri" w:eastAsia="Times New Roman" w:cs="Times New Roman"/>
                <w:lang w:eastAsia="en-US"/>
              </w:rPr>
            </w:pPr>
            <w:r>
              <w:rPr>
                <w:rFonts w:ascii="Calibri" w:hAnsi="Calibri" w:eastAsia="Times New Roman" w:cs="Times New Roman"/>
                <w:lang w:eastAsia="en-US"/>
              </w:rPr>
            </w:r>
            <w:r>
              <w:rPr>
                <w:rFonts w:ascii="Calibri" w:hAnsi="Calibri" w:eastAsia="Times New Roman" w:cs="Times New Roman"/>
                <w:lang w:eastAsia="en-US"/>
              </w:rPr>
            </w:r>
          </w:p>
        </w:tc>
        <w:tc>
          <w:tcPr>
            <w:shd w:val="clear" w:color="c0c0c0" w:fill="ffffff"/>
            <w:tcMar>
              <w:left w:w="34" w:type="dxa"/>
              <w:right w:w="34" w:type="dxa"/>
            </w:tcMar>
            <w:tcW w:w="1007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Calibri" w:hAnsi="Calibri" w:eastAsia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Calibri" w:hAnsi="Calibri" w:eastAsia="Times New Roman" w:cs="Times New Roman"/>
                <w:sz w:val="16"/>
                <w:szCs w:val="16"/>
                <w:lang w:eastAsia="en-US"/>
              </w:rPr>
            </w:r>
            <w:r>
              <w:rPr>
                <w:rFonts w:ascii="Calibri" w:hAnsi="Calibri" w:eastAsia="Times New Roman" w:cs="Times New Roman"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ПК-2: Способен планировать работы по техническому обслуживанию и ремонту грузовых вагонов, в том числе в автоматизированной системе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ПК-2.1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Определяет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объемы работ при техническом обслуживании и ремонте вагонов по результатам контроля технического состояния и диагностики узлов и элементов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308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ПК-2.2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Выбирает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технологическую оснастку и оборудование для технического обслуживания и ремонта вагонов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ПК-3: Способен осуществлять выбор эффективных цифровых решений при планировании работ на участке производства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ПК-3.1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Выбирает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и оценивает возможность применения цифровых технологий в производственных процессах вагонного комплекса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ПК-3.2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Разрабатывает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технологические процессы диагностирования и контроля технического состояния грузовых вагонов с применением цифровых технологий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ПК-3.3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Разрабатывает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технологические процессы ремонта грузовых вагонов и их узлов с использованием цифровых технологий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ПК-3.4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Применяет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цифровые технологии при разработке технологических процессов эксплуатации грузовых вагонов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ПК-4: Способен контролировать технологию и качество выполнения работ в части обеспечения безопасности движения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ПК-4.1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Выполняет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расчет тормозных средств, контролирует состояние тормозной системы, определяет конструктивные особенности и эффективность тормозов грузовых вагонов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ПК-4.2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Определяет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оптимальные режимы движения поезда и выполняет расчет скорости подвижного состава для оценки состояния безопасности движения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ПК-4.3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Проводит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анализ выполнения работ по обеспечению безопасности движения поездов в том числе при проведении расследования нарушений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ПК-5: Способен организовывать работу подразделения при техническом обслуживании и ремонте подвижного состава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ПК-5.1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Определяет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комплекс работ и составляет план устранения неисправностей грузовых вагонов в процессе эксплуатации и ремонта грузовых вагонов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ПК-5.2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Разрабатывает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плановые задания на выполнение работ в соответствии с системой технического обслуживания и ремонта вагонов, в том числе в автоматизированной системе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ПК-5.3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Определяет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потребность и разрабатывает план обеспечения подразделения материальными ресурсами, запасными частями и инструментом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ПК-6: Способен планировать и организовывать работы по техническому развитию подразделения вагонного хозяйства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ПК-6.1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Разрабатывает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предложения по внедрению в производственные процессы средств автоматизации и современного технологического оборудования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ПК-6.2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Проводит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научные исследования, используя профессиональные базы данных и справочные информационные системы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308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ПК-7: Способен планировать производственно-хозяйственную деятельность подразделения вагонного хозяйства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75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ПК-7.1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Определяет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и оценивает ключевые показатели экономической и производственной деятельности подразделения вагонного хозяйства на основе корпоративных практик; разрабатывает прогнозы экономического и социального развития подразделения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ПК-7.2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Разрабатывает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мероприятия по совершенствованию системы управления и организации производственно- хозяйственной деятельностью подразделений вагонного хозяйства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ПК-8: Способен выполнять работы по проектированию узлов и деталей вагонов, подготовке технической документации, в том числе с использованием современных цифровых технологий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308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ПК-8.1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Выполняет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проектирование узлов и деталей вагонов с использованием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val="en-US" w:eastAsia="en-US"/>
              </w:rPr>
              <w:t xml:space="preserve">CAD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/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val="en-US" w:eastAsia="en-US"/>
              </w:rPr>
              <w:t xml:space="preserve">CAE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систем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ПК-8.2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: Разрабатывает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lang w:eastAsia="en-US"/>
              </w:rPr>
              <w:t xml:space="preserve"> технологическую документацию по технической эксплуатации и ремонту вагонов с применением автоматизированных систем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УК-1: Способен осуществлять критический анализ проблемных ситуаций на основе системного подхода, вырабатывать стратегию действий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75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УК-1.1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: Осуществляет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УК-1.2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: Воспринимает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</w:tbl>
    <w:p>
      <w:pPr>
        <w:rPr>
          <w:rFonts w:ascii="Calibri" w:hAnsi="Calibri" w:eastAsia="Times New Roman" w:cs="Times New Roman"/>
          <w:sz w:val="0"/>
          <w:szCs w:val="0"/>
          <w:lang w:eastAsia="en-US"/>
        </w:rPr>
      </w:pPr>
      <w:r>
        <w:rPr>
          <w:rFonts w:ascii="Calibri" w:hAnsi="Calibri" w:eastAsia="Times New Roman" w:cs="Times New Roman"/>
          <w:lang w:eastAsia="en-US"/>
        </w:rPr>
        <w:br w:type="page" w:clear="all"/>
      </w:r>
      <w:r>
        <w:rPr>
          <w:rFonts w:ascii="Calibri" w:hAnsi="Calibri" w:eastAsia="Times New Roman" w:cs="Times New Roman"/>
          <w:sz w:val="0"/>
          <w:szCs w:val="0"/>
          <w:lang w:eastAsia="en-US"/>
        </w:rPr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9"/>
        <w:gridCol w:w="5089"/>
        <w:gridCol w:w="1005"/>
      </w:tblGrid>
      <w:tr>
        <w:tblPrEx/>
        <w:trPr>
          <w:trHeight w:val="416" w:hRule="exact"/>
        </w:trPr>
        <w:tc>
          <w:tcPr>
            <w:shd w:val="clear" w:color="c0c0c0" w:fill="ffffff"/>
            <w:tcMar>
              <w:left w:w="34" w:type="dxa"/>
              <w:right w:w="34" w:type="dxa"/>
            </w:tcMar>
            <w:tcW w:w="467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Calibri" w:hAnsi="Calibri" w:eastAsia="Times New Roman" w:cs="Times New Roman"/>
                <w:sz w:val="16"/>
                <w:szCs w:val="16"/>
                <w:lang w:eastAsia="en-US"/>
              </w:rPr>
            </w:r>
            <w:r>
              <w:rPr>
                <w:rFonts w:ascii="Calibri" w:hAnsi="Calibri" w:eastAsia="Times New Roman" w:cs="Times New Roman"/>
                <w:sz w:val="16"/>
                <w:szCs w:val="16"/>
                <w:lang w:eastAsia="en-US"/>
              </w:rPr>
            </w:r>
          </w:p>
        </w:tc>
        <w:tc>
          <w:tcPr>
            <w:tcW w:w="5089" w:type="dxa"/>
            <w:textDirection w:val="lrTb"/>
            <w:noWrap w:val="false"/>
          </w:tcPr>
          <w:p>
            <w:pPr>
              <w:rPr>
                <w:rFonts w:ascii="Calibri" w:hAnsi="Calibri" w:eastAsia="Times New Roman" w:cs="Times New Roman"/>
                <w:lang w:eastAsia="en-US"/>
              </w:rPr>
            </w:pPr>
            <w:r>
              <w:rPr>
                <w:rFonts w:ascii="Calibri" w:hAnsi="Calibri" w:eastAsia="Times New Roman" w:cs="Times New Roman"/>
                <w:lang w:eastAsia="en-US"/>
              </w:rPr>
            </w:r>
            <w:r>
              <w:rPr>
                <w:rFonts w:ascii="Calibri" w:hAnsi="Calibri" w:eastAsia="Times New Roman" w:cs="Times New Roman"/>
                <w:lang w:eastAsia="en-US"/>
              </w:rPr>
            </w:r>
          </w:p>
        </w:tc>
        <w:tc>
          <w:tcPr>
            <w:shd w:val="clear" w:color="c0c0c0" w:fill="ffffff"/>
            <w:tcMar>
              <w:left w:w="34" w:type="dxa"/>
              <w:right w:w="34" w:type="dxa"/>
            </w:tcMar>
            <w:tcW w:w="100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Calibri" w:hAnsi="Calibri" w:eastAsia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Calibri" w:hAnsi="Calibri" w:eastAsia="Times New Roman" w:cs="Times New Roman"/>
                <w:sz w:val="16"/>
                <w:szCs w:val="16"/>
                <w:lang w:eastAsia="en-US"/>
              </w:rPr>
            </w:r>
            <w:r>
              <w:rPr>
                <w:rFonts w:ascii="Calibri" w:hAnsi="Calibri" w:eastAsia="Times New Roman" w:cs="Times New Roman"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7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УК-1.3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: Вырабатывает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308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7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УК-2: Способен управлять проектом на всех этапах его жизненного цикла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302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7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УК-2.1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: Управляет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 командой, временем, стоимостью, качеством и рисками проекта на всех этапах его жизненного цикла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7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УК-2.2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: Контролирует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 выполнение всех этапов и результатов проекта, использует методы экономической оценки его эффективности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7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УК-3: Способен организовывать и руководить работой команды, вырабатывая командную стратегию для достижения поставленной цели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308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7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УК-3.1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: Организует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 и руководит работой команды в цифровой среде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7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УК-3.2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: Вырабатывает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 командную стратегию для достижения поставленной цели, в том числе с использованием цифровых инструментов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7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УК-4: Способен применять современные коммуникативные технологии, в том числе на иностранном(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ых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) языке(ах), для академического и профессионального взаимодействия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7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УК-4.1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: Применяет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 современные коммуникативные технологии для академического и профессионального взаимодействия в цифровой среде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7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УК-4.2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: Отбирает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7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УК-4.3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: Применяет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 современные коммуникативные технологии для академического и профессионального взаимодействия на иностранном(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ых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) языке(ах)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308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7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УК-5: Способен анализировать и учитывать разнообразие культур в процессе межкультурного взаимодействия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7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УК-5.1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: Анализирует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308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7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УК-5.2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: Выявляет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 современные тенденции исторического развития России с учетом геополитической обстановки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7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УК-5.3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: Использует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 историческое наследие и традиции транспортной отрасли в процессе социокультурного и профессионального общения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75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7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УК-5.4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: Выстраивает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7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УК-6: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75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7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УК-6.1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: Использует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308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7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УК-6.2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: Определяет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 способы и средства саморазвития с использованием цифровых инструментов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7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УК-7: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7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УК-7.1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: Выбирает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здоровьесберегающие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 технологии для поддержания здорового образа жизни с учетом физиологических особенностей организма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7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УК-7.2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: Выбирает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 способы оценки и контроля уровня физического развития, физической и профессионально- прикладной подготовленности, показателей работоспособности и здоровья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7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УК-7.3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: Соблюдает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 нормы здорового образа жизни, поддерживает должный уровень физической подготовленности для обеспечения полноценной социальной и профессиональной деятельности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75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7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УК-8: Способен создавать и подде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7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УК-8.1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: Идентифицирует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7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УК-8.2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: Определяет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308" w:hRule="exact"/>
        </w:trPr>
        <w:tc>
          <w:tcPr>
            <w:gridSpan w:val="3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77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УК-8.3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: Планирует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 мероприятия по организации безопасных условий труда на предприятии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</w:tbl>
    <w:p>
      <w:pPr>
        <w:rPr>
          <w:rFonts w:ascii="Calibri" w:hAnsi="Calibri" w:eastAsia="Times New Roman" w:cs="Times New Roman"/>
          <w:sz w:val="0"/>
          <w:szCs w:val="0"/>
          <w:lang w:eastAsia="en-US"/>
        </w:rPr>
      </w:pPr>
      <w:r>
        <w:rPr>
          <w:rFonts w:ascii="Calibri" w:hAnsi="Calibri" w:eastAsia="Times New Roman" w:cs="Times New Roman"/>
          <w:lang w:eastAsia="en-US"/>
        </w:rPr>
        <w:br w:type="page" w:clear="all"/>
      </w:r>
      <w:r>
        <w:rPr>
          <w:rFonts w:ascii="Calibri" w:hAnsi="Calibri" w:eastAsia="Times New Roman" w:cs="Times New Roman"/>
          <w:sz w:val="0"/>
          <w:szCs w:val="0"/>
          <w:lang w:eastAsia="en-US"/>
        </w:rPr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2"/>
        <w:gridCol w:w="2970"/>
        <w:gridCol w:w="710"/>
        <w:gridCol w:w="1100"/>
        <w:gridCol w:w="1350"/>
      </w:tblGrid>
      <w:tr>
        <w:tblPrEx/>
        <w:trPr>
          <w:trHeight w:val="416" w:hRule="exact"/>
        </w:trPr>
        <w:tc>
          <w:tcPr>
            <w:shd w:val="clear" w:color="c0c0c0" w:fill="ffffff"/>
            <w:tcMar>
              <w:left w:w="34" w:type="dxa"/>
              <w:right w:w="34" w:type="dxa"/>
            </w:tcMar>
            <w:tcW w:w="450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Calibri" w:hAnsi="Calibri" w:eastAsia="Times New Roman" w:cs="Times New Roman"/>
                <w:sz w:val="16"/>
                <w:szCs w:val="16"/>
                <w:lang w:eastAsia="en-US"/>
              </w:rPr>
            </w:r>
            <w:r>
              <w:rPr>
                <w:rFonts w:ascii="Calibri" w:hAnsi="Calibri" w:eastAsia="Times New Roman" w:cs="Times New Roman"/>
                <w:sz w:val="16"/>
                <w:szCs w:val="16"/>
                <w:lang w:eastAsia="en-US"/>
              </w:rPr>
            </w:r>
          </w:p>
        </w:tc>
        <w:tc>
          <w:tcPr>
            <w:tcW w:w="2970" w:type="dxa"/>
            <w:textDirection w:val="lrTb"/>
            <w:noWrap w:val="false"/>
          </w:tcPr>
          <w:p>
            <w:pPr>
              <w:rPr>
                <w:rFonts w:ascii="Calibri" w:hAnsi="Calibri" w:eastAsia="Times New Roman" w:cs="Times New Roman"/>
                <w:lang w:eastAsia="en-US"/>
              </w:rPr>
            </w:pPr>
            <w:r>
              <w:rPr>
                <w:rFonts w:ascii="Calibri" w:hAnsi="Calibri" w:eastAsia="Times New Roman" w:cs="Times New Roman"/>
                <w:lang w:eastAsia="en-US"/>
              </w:rPr>
            </w:r>
            <w:r>
              <w:rPr>
                <w:rFonts w:ascii="Calibri" w:hAnsi="Calibri" w:eastAsia="Times New Roman" w:cs="Times New Roman"/>
                <w:lang w:eastAsia="en-US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rPr>
                <w:rFonts w:ascii="Calibri" w:hAnsi="Calibri" w:eastAsia="Times New Roman" w:cs="Times New Roman"/>
                <w:lang w:eastAsia="en-US"/>
              </w:rPr>
            </w:pPr>
            <w:r>
              <w:rPr>
                <w:rFonts w:ascii="Calibri" w:hAnsi="Calibri" w:eastAsia="Times New Roman" w:cs="Times New Roman"/>
                <w:lang w:eastAsia="en-US"/>
              </w:rPr>
            </w:r>
            <w:r>
              <w:rPr>
                <w:rFonts w:ascii="Calibri" w:hAnsi="Calibri" w:eastAsia="Times New Roman" w:cs="Times New Roman"/>
                <w:lang w:eastAsia="en-US"/>
              </w:rPr>
            </w:r>
          </w:p>
        </w:tc>
        <w:tc>
          <w:tcPr>
            <w:tcW w:w="1100" w:type="dxa"/>
            <w:textDirection w:val="lrTb"/>
            <w:noWrap w:val="false"/>
          </w:tcPr>
          <w:p>
            <w:pPr>
              <w:rPr>
                <w:rFonts w:ascii="Calibri" w:hAnsi="Calibri" w:eastAsia="Times New Roman" w:cs="Times New Roman"/>
                <w:lang w:eastAsia="en-US"/>
              </w:rPr>
            </w:pPr>
            <w:r>
              <w:rPr>
                <w:rFonts w:ascii="Calibri" w:hAnsi="Calibri" w:eastAsia="Times New Roman" w:cs="Times New Roman"/>
                <w:lang w:eastAsia="en-US"/>
              </w:rPr>
            </w:r>
            <w:r>
              <w:rPr>
                <w:rFonts w:ascii="Calibri" w:hAnsi="Calibri" w:eastAsia="Times New Roman" w:cs="Times New Roman"/>
                <w:lang w:eastAsia="en-US"/>
              </w:rPr>
            </w:r>
          </w:p>
        </w:tc>
        <w:tc>
          <w:tcPr>
            <w:shd w:val="clear" w:color="c0c0c0" w:fill="ffffff"/>
            <w:tcMar>
              <w:left w:w="34" w:type="dxa"/>
              <w:right w:w="34" w:type="dxa"/>
            </w:tcMar>
            <w:tcW w:w="1350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Calibri" w:hAnsi="Calibri" w:eastAsia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Calibri" w:hAnsi="Calibri" w:eastAsia="Times New Roman" w:cs="Times New Roman"/>
                <w:sz w:val="16"/>
                <w:szCs w:val="16"/>
                <w:lang w:eastAsia="en-US"/>
              </w:rPr>
            </w:r>
            <w:r>
              <w:rPr>
                <w:rFonts w:ascii="Calibri" w:hAnsi="Calibri" w:eastAsia="Times New Roman" w:cs="Times New Roman"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08" w:hRule="exact"/>
        </w:trPr>
        <w:tc>
          <w:tcPr>
            <w:gridSpan w:val="5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63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УК-9: Способен принимать обоснованные экономические решения в различных областях жизнедеятельности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36" w:hRule="exact"/>
        </w:trPr>
        <w:tc>
          <w:tcPr>
            <w:gridSpan w:val="5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63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УК-9.1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: Анализирует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 и критически оценивает информацию, необходимую для принятия обоснованных экономических решений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756" w:hRule="exact"/>
        </w:trPr>
        <w:tc>
          <w:tcPr>
            <w:gridSpan w:val="5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63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УК-9.2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: Применяет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  <w:r>
              <w:rPr>
                <w:rFonts w:ascii="Calibri" w:hAnsi="Calibri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51" w:hRule="exact"/>
        </w:trPr>
        <w:tc>
          <w:tcPr>
            <w:gridSpan w:val="5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63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УК-10: 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73" w:hRule="exact"/>
        </w:trPr>
        <w:tc>
          <w:tcPr>
            <w:gridSpan w:val="5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63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УК-10.1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: Раскрывает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 механизм проявления коррупционного поведения и определяет способы противодействия ему в профессиональной деятельности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</w:r>
          </w:p>
        </w:tc>
      </w:tr>
      <w:tr>
        <w:tblPrEx/>
        <w:trPr>
          <w:trHeight w:val="567" w:hRule="exact"/>
        </w:trPr>
        <w:tc>
          <w:tcPr>
            <w:gridSpan w:val="5"/>
            <w:shd w:val="clear" w:color="000000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34" w:type="dxa"/>
              <w:right w:w="34" w:type="dxa"/>
            </w:tcMar>
            <w:tcW w:w="1063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УК-10.2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: Обосновывает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 правовыми средствами свою гражданскую позицию в отношении терроризма и экстремизма и применяет способы противодействия им в профессиональной сфере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</w:r>
          </w:p>
        </w:tc>
      </w:tr>
    </w:tbl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2. Описание показателей и критериев оценивания компетенций на различных этапах их формирования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Основными этапами формирования компетенций обучающихся образовательной программы являются последовательное изучение содержательно связа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нных между собой разделов (тем) учебных дисциплин. На этапе выполнения ВКР происходит контроль освоения компетенций, закрепленных за Государственной итоговой аттестацией. Результаты контроля и позволяют определить уровень освоения компетенций обучающимися.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NewRomanPSMT" w:cs="Times New Roman"/>
          <w:sz w:val="24"/>
          <w:szCs w:val="24"/>
        </w:rPr>
      </w:pPr>
      <w:r>
        <w:rPr>
          <w:rFonts w:ascii="Times New Roman" w:hAnsi="Times New Roman" w:eastAsia="TimesNewRomanPSMT" w:cs="Times New Roman"/>
          <w:sz w:val="24"/>
          <w:szCs w:val="24"/>
        </w:rPr>
        <w:t xml:space="preserve">Контроль (оценка) руководителем, консультантами и рецензентом проводится в процессе работы над ВКР и в форме защиты дипломного проекта.</w:t>
      </w:r>
      <w:r>
        <w:rPr>
          <w:rFonts w:ascii="Times New Roman" w:hAnsi="Times New Roman" w:eastAsia="TimesNewRomanPSMT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NewRomanPSMT" w:cs="Times New Roman"/>
          <w:sz w:val="24"/>
          <w:szCs w:val="24"/>
        </w:rPr>
      </w:pPr>
      <w:r>
        <w:rPr>
          <w:rFonts w:ascii="Times New Roman" w:hAnsi="Times New Roman" w:eastAsia="TimesNewRomanPSMT" w:cs="Times New Roman"/>
          <w:sz w:val="24"/>
          <w:szCs w:val="24"/>
        </w:rPr>
        <w:t xml:space="preserve">Решение об оценке принимается на закрытом заседании ГЭК по окончании процедуры защиты всех работ, намеченных на данное заседание.</w:t>
      </w:r>
      <w:r>
        <w:rPr>
          <w:rFonts w:ascii="Times New Roman" w:hAnsi="Times New Roman" w:eastAsia="TimesNewRomanPSMT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NewRomanPSMT" w:cs="Times New Roman"/>
          <w:sz w:val="24"/>
          <w:szCs w:val="24"/>
        </w:rPr>
      </w:pPr>
      <w:r>
        <w:rPr>
          <w:rFonts w:ascii="Times New Roman" w:hAnsi="Times New Roman" w:eastAsia="TimesNewRomanPSMT" w:cs="Times New Roman"/>
          <w:sz w:val="24"/>
          <w:szCs w:val="24"/>
        </w:rPr>
        <w:t xml:space="preserve"> </w:t>
      </w:r>
      <w:r>
        <w:rPr>
          <w:rFonts w:ascii="Times New Roman" w:hAnsi="Times New Roman" w:eastAsia="TimesNewRomanPSMT" w:cs="Times New Roman"/>
          <w:b/>
          <w:bCs/>
          <w:sz w:val="24"/>
          <w:szCs w:val="24"/>
        </w:rPr>
        <w:t xml:space="preserve">«Отлично»</w:t>
      </w:r>
      <w:r>
        <w:rPr>
          <w:rFonts w:ascii="Times New Roman" w:hAnsi="Times New Roman" w:eastAsia="TimesNewRomanPSMT" w:cs="Times New Roman"/>
          <w:sz w:val="24"/>
          <w:szCs w:val="24"/>
        </w:rPr>
        <w:t xml:space="preserve"> выставляется за ВКР, которая является актуальной, носит исследовательский характер и име</w:t>
      </w:r>
      <w:r>
        <w:rPr>
          <w:rFonts w:ascii="Times New Roman" w:hAnsi="Times New Roman" w:eastAsia="TimesNewRomanPSMT" w:cs="Times New Roman"/>
          <w:sz w:val="24"/>
          <w:szCs w:val="24"/>
        </w:rPr>
        <w:t xml:space="preserve">ет научную новизну, имеет грамотно изложенную теоретическую основу, глубокий анализ, критический разбор темы, логичное, последовательное изложение материала с соответствующими выводами и обоснованными предложениями. Она имеет положительный отзыв руководите</w:t>
      </w:r>
      <w:r>
        <w:rPr>
          <w:rFonts w:ascii="Times New Roman" w:hAnsi="Times New Roman" w:eastAsia="TimesNewRomanPSMT" w:cs="Times New Roman"/>
          <w:sz w:val="24"/>
          <w:szCs w:val="24"/>
        </w:rPr>
        <w:t xml:space="preserve">ля и рецензента. При ее защите студент показывает глубокие знания вопросов темы, свободно оперирует данными исследования, вносит обоснованные предложения по улучшению системы, эффективному использованию ее ресурсов, легко отвечает на поставленные вопросы. </w:t>
      </w:r>
      <w:r>
        <w:rPr>
          <w:rFonts w:ascii="Times New Roman" w:hAnsi="Times New Roman" w:eastAsia="TimesNewRomanPSMT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NewRomanPSMT" w:cs="Times New Roman"/>
          <w:sz w:val="24"/>
          <w:szCs w:val="24"/>
        </w:rPr>
      </w:pPr>
      <w:r>
        <w:rPr>
          <w:rFonts w:ascii="Times New Roman" w:hAnsi="Times New Roman" w:eastAsia="TimesNewRomanPSMT" w:cs="Times New Roman"/>
          <w:b/>
          <w:bCs/>
          <w:sz w:val="24"/>
          <w:szCs w:val="24"/>
        </w:rPr>
        <w:t xml:space="preserve">«Хорошо»</w:t>
      </w:r>
      <w:r>
        <w:rPr>
          <w:rFonts w:ascii="Times New Roman" w:hAnsi="Times New Roman" w:eastAsia="TimesNewRomanPSMT" w:cs="Times New Roman"/>
          <w:sz w:val="24"/>
          <w:szCs w:val="24"/>
        </w:rPr>
        <w:t xml:space="preserve"> выставляется за ВКР, которая является актуальной, носит исследовательский характер и имеет научную новизну, имеет грамотно изложенную теоретическую основу, в ней представлены достаточно подробный анали</w:t>
      </w:r>
      <w:r>
        <w:rPr>
          <w:rFonts w:ascii="Times New Roman" w:hAnsi="Times New Roman" w:eastAsia="TimesNewRomanPSMT" w:cs="Times New Roman"/>
          <w:sz w:val="24"/>
          <w:szCs w:val="24"/>
        </w:rPr>
        <w:t xml:space="preserve">з и критический разбор темы, последовательное изложение материала с соответствующими выводами, однако с не вполне обоснованными предложениями. Она имеет положительный отзыв руководителя и рецензента. При ее защите студент показывает знания вопросов темы, о</w:t>
      </w:r>
      <w:r>
        <w:rPr>
          <w:rFonts w:ascii="Times New Roman" w:hAnsi="Times New Roman" w:eastAsia="TimesNewRomanPSMT" w:cs="Times New Roman"/>
          <w:sz w:val="24"/>
          <w:szCs w:val="24"/>
        </w:rPr>
        <w:t xml:space="preserve">перирует данными исследования, вносит предложения по улучшению деятельности системы, эффективному использованию ее ресурсов, без особых затруднений отвечает на поставленные вопросы. Имеются замечания по выполнению ВКР, по ответам на дополнительные вопросы.</w:t>
      </w:r>
      <w:r>
        <w:rPr>
          <w:rFonts w:ascii="Times New Roman" w:hAnsi="Times New Roman" w:eastAsia="TimesNewRomanPSMT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NewRomanPSMT" w:cs="Times New Roman"/>
          <w:sz w:val="24"/>
          <w:szCs w:val="24"/>
        </w:rPr>
      </w:pPr>
      <w:r>
        <w:rPr>
          <w:rFonts w:ascii="Times New Roman" w:hAnsi="Times New Roman" w:eastAsia="TimesNewRomanPSMT" w:cs="Times New Roman"/>
          <w:b/>
          <w:bCs/>
          <w:sz w:val="24"/>
          <w:szCs w:val="24"/>
        </w:rPr>
        <w:t xml:space="preserve">«Удовлетворительно»</w:t>
      </w:r>
      <w:r>
        <w:rPr>
          <w:rFonts w:ascii="Times New Roman" w:hAnsi="Times New Roman" w:eastAsia="TimesNewRomanPSMT" w:cs="Times New Roman"/>
          <w:sz w:val="24"/>
          <w:szCs w:val="24"/>
        </w:rPr>
        <w:t xml:space="preserve"> выставляется за ВКР, </w:t>
      </w:r>
      <w:r>
        <w:rPr>
          <w:rFonts w:ascii="Times New Roman" w:hAnsi="Times New Roman" w:eastAsia="TimesNewRomanPSMT" w:cs="Times New Roman"/>
          <w:sz w:val="24"/>
          <w:szCs w:val="24"/>
        </w:rPr>
        <w:t xml:space="preserve">которая носит исследовательский характер, имеет теоретическую основу, базируется на практическом материале, но имеет поверхностный анализ и недостаточно критический разбор темы, в ней просматривается непоследовательность изложения материала, представлены н</w:t>
      </w:r>
      <w:r>
        <w:rPr>
          <w:rFonts w:ascii="Times New Roman" w:hAnsi="Times New Roman" w:eastAsia="TimesNewRomanPSMT" w:cs="Times New Roman"/>
          <w:sz w:val="24"/>
          <w:szCs w:val="24"/>
        </w:rPr>
        <w:t xml:space="preserve">еобоснованные предложения. В отзыве руководителя и/или рецензента имеются замечания по содержанию работы. При ее защите студент проявляет неуверенность, показывает слабое знание вопросов темы, не дает полного аргументированного ответа на заданные вопросы. </w:t>
      </w:r>
      <w:r>
        <w:rPr>
          <w:rFonts w:ascii="Times New Roman" w:hAnsi="Times New Roman" w:eastAsia="TimesNewRomanPSMT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NewRomanPSMT" w:cs="Times New Roman"/>
          <w:sz w:val="24"/>
          <w:szCs w:val="24"/>
        </w:rPr>
      </w:pPr>
      <w:r>
        <w:rPr>
          <w:rFonts w:ascii="Times New Roman" w:hAnsi="Times New Roman" w:eastAsia="TimesNewRomanPSMT" w:cs="Times New Roman"/>
          <w:b/>
          <w:bCs/>
          <w:sz w:val="24"/>
          <w:szCs w:val="24"/>
        </w:rPr>
        <w:t xml:space="preserve">«Неудовлетворительно»</w:t>
      </w:r>
      <w:r>
        <w:rPr>
          <w:rFonts w:ascii="Times New Roman" w:hAnsi="Times New Roman" w:eastAsia="TimesNewRomanPSMT" w:cs="Times New Roman"/>
          <w:sz w:val="24"/>
          <w:szCs w:val="24"/>
        </w:rPr>
        <w:t xml:space="preserve"> выставляется за ВКР, которая не носит исследовательского характера, не имеет научной новизны, не имеет анализа и практическо</w:t>
      </w:r>
      <w:r>
        <w:rPr>
          <w:rFonts w:ascii="Times New Roman" w:hAnsi="Times New Roman" w:eastAsia="TimesNewRomanPSMT" w:cs="Times New Roman"/>
          <w:sz w:val="24"/>
          <w:szCs w:val="24"/>
        </w:rPr>
        <w:t xml:space="preserve">го разбора темы, не отвечает установленным требованиям. В работе нет выводов. В отзыве руководителя и/или рецензента имеются критические замечания. При защите ВКР студент затрудняется ответить на поставленные вопросы по ее теме, не владеет теорией вопроса.</w:t>
      </w:r>
      <w:r>
        <w:rPr>
          <w:rFonts w:ascii="Times New Roman" w:hAnsi="Times New Roman" w:eastAsia="TimesNewRomanPSMT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NewRomanPSMT" w:cs="Times New Roman"/>
          <w:sz w:val="24"/>
          <w:szCs w:val="24"/>
        </w:rPr>
      </w:pPr>
      <w:r>
        <w:rPr>
          <w:rFonts w:ascii="Times New Roman" w:hAnsi="Times New Roman" w:eastAsia="TimesNewRomanPSMT" w:cs="Times New Roman"/>
          <w:sz w:val="24"/>
          <w:szCs w:val="24"/>
        </w:rPr>
        <w:t xml:space="preserve">Студенту выдается диплом с отличием при выполнении следующих условий:</w:t>
      </w:r>
      <w:r>
        <w:rPr>
          <w:rFonts w:ascii="Times New Roman" w:hAnsi="Times New Roman" w:eastAsia="TimesNewRomanPSMT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NewRomanPSMT" w:cs="Times New Roman"/>
          <w:sz w:val="24"/>
          <w:szCs w:val="24"/>
        </w:rPr>
      </w:pPr>
      <w:r>
        <w:rPr>
          <w:rFonts w:ascii="Times New Roman" w:hAnsi="Times New Roman" w:eastAsia="TimesNewRomanPSMT" w:cs="Times New Roman"/>
          <w:sz w:val="24"/>
          <w:szCs w:val="24"/>
        </w:rPr>
        <w:t xml:space="preserve">• отсутствуют оценки «удовлетворительно» по дисциплинам (модулям), практикам, курсовым работам (проектам);</w:t>
      </w:r>
      <w:r>
        <w:rPr>
          <w:rFonts w:ascii="Times New Roman" w:hAnsi="Times New Roman" w:eastAsia="TimesNewRomanPSMT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NewRomanPSMT" w:cs="Times New Roman"/>
          <w:sz w:val="24"/>
          <w:szCs w:val="24"/>
        </w:rPr>
      </w:pPr>
      <w:r>
        <w:rPr>
          <w:rFonts w:ascii="Times New Roman" w:hAnsi="Times New Roman" w:eastAsia="TimesNewRomanPSMT" w:cs="Times New Roman"/>
          <w:sz w:val="24"/>
          <w:szCs w:val="24"/>
        </w:rPr>
        <w:t xml:space="preserve">• оценка по результатам ГИА – «отлично»; </w:t>
      </w:r>
      <w:r>
        <w:rPr>
          <w:rFonts w:ascii="Times New Roman" w:hAnsi="Times New Roman" w:eastAsia="TimesNewRomanPSMT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NewRomanPSMT" w:cs="Times New Roman"/>
          <w:sz w:val="24"/>
          <w:szCs w:val="24"/>
        </w:rPr>
      </w:pPr>
      <w:r>
        <w:rPr>
          <w:rFonts w:ascii="Times New Roman" w:hAnsi="Times New Roman" w:eastAsia="TimesNewRomanPSMT" w:cs="Times New Roman"/>
          <w:sz w:val="24"/>
          <w:szCs w:val="24"/>
        </w:rPr>
        <w:t xml:space="preserve">• количество оценок «отлично» не менее 75% от общего количества оценок, указанных в приложении к диплому.</w:t>
      </w:r>
      <w:r>
        <w:rPr>
          <w:rFonts w:ascii="Times New Roman" w:hAnsi="Times New Roman" w:eastAsia="TimesNewRomanPSMT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NewRomanPSMT" w:cs="Times New Roman"/>
          <w:sz w:val="24"/>
          <w:szCs w:val="24"/>
        </w:rPr>
      </w:pPr>
      <w:r>
        <w:rPr>
          <w:rFonts w:ascii="Times New Roman" w:hAnsi="Times New Roman" w:eastAsia="TimesNewRomanPSMT" w:cs="Times New Roman"/>
          <w:sz w:val="24"/>
          <w:szCs w:val="24"/>
        </w:rPr>
        <w:t xml:space="preserve">Этапы контроля </w:t>
      </w:r>
      <w:r>
        <w:rPr>
          <w:rFonts w:ascii="Times New Roman" w:hAnsi="Times New Roman" w:eastAsia="TimesNewRomanPSMT" w:cs="Times New Roman"/>
          <w:sz w:val="24"/>
          <w:szCs w:val="24"/>
        </w:rPr>
        <w:t xml:space="preserve">и критерии достижения</w:t>
      </w:r>
      <w:r>
        <w:rPr>
          <w:rFonts w:ascii="Times New Roman" w:hAnsi="Times New Roman" w:eastAsia="TimesNewRomanPSMT" w:cs="Times New Roman"/>
          <w:sz w:val="24"/>
          <w:szCs w:val="24"/>
        </w:rPr>
        <w:t xml:space="preserve"> соответствующих компетенций представлены в таблице 2. При этом введены следующие обозначения этапов (показателей) контроля. </w:t>
      </w:r>
      <w:r>
        <w:rPr>
          <w:rFonts w:ascii="Times New Roman" w:hAnsi="Times New Roman" w:eastAsia="TimesNewRomanPSMT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/>
      <w:bookmarkStart w:id="0" w:name="_Hlk65075416"/>
      <w:r>
        <w:rPr>
          <w:rFonts w:ascii="Times New Roman" w:hAnsi="Times New Roman" w:eastAsia="Times New Roman"/>
          <w:sz w:val="24"/>
          <w:szCs w:val="24"/>
        </w:rPr>
        <w:t xml:space="preserve">Таблица 2 – Этапы оценки сформированности компетенций в соответс</w:t>
      </w:r>
      <w:r>
        <w:rPr>
          <w:rFonts w:ascii="Times New Roman" w:hAnsi="Times New Roman" w:eastAsia="Times New Roman"/>
          <w:sz w:val="24"/>
          <w:szCs w:val="24"/>
        </w:rPr>
        <w:t xml:space="preserve">т</w:t>
      </w:r>
      <w:r>
        <w:rPr>
          <w:rFonts w:ascii="Times New Roman" w:hAnsi="Times New Roman" w:eastAsia="Times New Roman"/>
          <w:sz w:val="24"/>
          <w:szCs w:val="24"/>
        </w:rPr>
        <w:t xml:space="preserve">вии с ИДК</w:t>
      </w:r>
      <w:r>
        <w:rPr>
          <w:rFonts w:ascii="Times New Roman" w:hAnsi="Times New Roman" w:eastAsia="Times New Roman"/>
          <w:sz w:val="24"/>
          <w:szCs w:val="24"/>
        </w:rPr>
      </w:r>
    </w:p>
    <w:tbl>
      <w:tblPr>
        <w:tblpPr w:horzAnchor="text" w:tblpX="421" w:vertAnchor="text" w:tblpY="1" w:leftFromText="180" w:topFromText="0" w:rightFromText="180" w:bottomFromText="0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524"/>
        <w:gridCol w:w="4740"/>
      </w:tblGrid>
      <w:tr>
        <w:tblPrEx/>
        <w:trPr>
          <w:trHeight w:val="493"/>
        </w:trPr>
        <w:tc>
          <w:tcPr>
            <w:tcW w:w="5524" w:type="dxa"/>
            <w:textDirection w:val="lrTb"/>
            <w:noWrap w:val="false"/>
          </w:tcPr>
          <w:p>
            <w:pPr>
              <w:ind w:right="-10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критерии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оценки формирования компетенции в процессе выполнения и защиты ВКР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7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индикатора достижения компетенции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10"/>
        </w:trPr>
        <w:tc>
          <w:tcPr>
            <w:tcW w:w="552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Полнота обоснования актуальности исследований (темы) ВКР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474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</w:rPr>
            </w:pPr>
            <w:r>
              <w:rPr>
                <w:rFonts w:ascii="Times New Roman" w:hAnsi="Times New Roman" w:cs="Times New Roman"/>
                <w:iCs/>
              </w:rPr>
              <w:t xml:space="preserve">УК-1.1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УК-1.2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</w:rPr>
              <w:t xml:space="preserve">УК-5.1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УК-5.2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УК-5.3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УК-5.4</w:t>
            </w:r>
            <w:r>
              <w:rPr>
                <w:rFonts w:ascii="Times New Roman" w:hAnsi="Times New Roman" w:cs="Times New Roman"/>
                <w:iCs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ff0000"/>
              </w:rPr>
            </w:r>
          </w:p>
        </w:tc>
      </w:tr>
      <w:tr>
        <w:tblPrEx/>
        <w:trPr>
          <w:trHeight w:val="310"/>
        </w:trPr>
        <w:tc>
          <w:tcPr>
            <w:tcW w:w="552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NewRomanPSMT" w:cs="Times New Roman"/>
                <w:sz w:val="24"/>
                <w:szCs w:val="24"/>
              </w:rPr>
              <w:t xml:space="preserve">Сбор и систематизация необходимой информации, выполнение первого раздела ВКР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474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ОПК-10.1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ОПК-10.2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ОПК-2.1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ОПК-2.2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ПК-1.1</w:t>
            </w:r>
            <w:r>
              <w:rPr>
                <w:rFonts w:ascii="Times New Roman" w:hAnsi="Times New Roman" w:eastAsia="Times New Roman" w:cs="Times New Roman"/>
                <w:bCs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color w:val="ff0000"/>
              </w:rPr>
            </w:r>
          </w:p>
        </w:tc>
      </w:tr>
      <w:tr>
        <w:tblPrEx/>
        <w:trPr>
          <w:trHeight w:val="310"/>
        </w:trPr>
        <w:tc>
          <w:tcPr>
            <w:tcW w:w="552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NewRomanPSMT" w:cs="Times New Roman"/>
                <w:sz w:val="24"/>
                <w:szCs w:val="24"/>
              </w:rPr>
              <w:t xml:space="preserve">Объем и содержание списка использованных источников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474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ff0000"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ОПК-10.1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</w:rPr>
              <w:t xml:space="preserve">ПК-6.2; </w:t>
            </w:r>
            <w:r>
              <w:rPr>
                <w:rFonts w:ascii="Times New Roman" w:hAnsi="Times New Roman" w:cs="Times New Roman"/>
                <w:bCs/>
                <w:iCs/>
                <w:color w:val="ff0000"/>
              </w:rPr>
            </w:r>
          </w:p>
        </w:tc>
      </w:tr>
      <w:tr>
        <w:tblPrEx/>
        <w:trPr>
          <w:trHeight w:val="310"/>
        </w:trPr>
        <w:tc>
          <w:tcPr>
            <w:tcW w:w="552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NewRomanPSMT" w:cs="Times New Roman"/>
                <w:sz w:val="24"/>
                <w:szCs w:val="24"/>
              </w:rPr>
              <w:t xml:space="preserve">Постановка проблемы (задач) исследования и обозначение (выбор) пути ее решения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474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ОПК-10.1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</w:rPr>
              <w:t xml:space="preserve">ПК-</w:t>
            </w:r>
            <w:r>
              <w:rPr>
                <w:rFonts w:ascii="Times New Roman" w:hAnsi="Times New Roman" w:cs="Times New Roman"/>
                <w:iCs/>
              </w:rPr>
              <w:t xml:space="preserve">1.1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ff0000"/>
              </w:rPr>
            </w:r>
          </w:p>
        </w:tc>
      </w:tr>
      <w:tr>
        <w:tblPrEx/>
        <w:trPr>
          <w:trHeight w:val="310"/>
        </w:trPr>
        <w:tc>
          <w:tcPr>
            <w:tcW w:w="552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NewRomanPSMT" w:cs="Times New Roman"/>
                <w:sz w:val="24"/>
                <w:szCs w:val="24"/>
              </w:rPr>
              <w:t xml:space="preserve">Выполнение специальной части проекта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474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ОПК-1.1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ОПК-1.2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ОПК-1.3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ОПК-1.4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</w:rPr>
              <w:t xml:space="preserve">ОПК-1.6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ОПК-3.1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ОПК-3.2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ОПК-3.3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ОПК-4.2</w:t>
            </w:r>
            <w:r>
              <w:rPr>
                <w:rFonts w:ascii="Times New Roman" w:hAnsi="Times New Roman" w:cs="Times New Roman"/>
                <w:iCs/>
              </w:rPr>
              <w:t xml:space="preserve">; </w:t>
            </w:r>
            <w:r>
              <w:rPr>
                <w:rFonts w:ascii="Times New Roman" w:hAnsi="Times New Roman" w:cs="Times New Roman"/>
                <w:iCs/>
              </w:rPr>
              <w:t xml:space="preserve">ОПК-4.3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ОПК-4.4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ОПК-4.5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ОПК-4.6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ОПК-4.7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ОПК-4.8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ОПК-4.2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ОПК-4.3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ОПК-4.4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ОПК-4.5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ОПК-4.6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ОПК-4.7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ОПК-4.8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ОПК-7.2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</w:rPr>
              <w:t xml:space="preserve">ОПК-5.1; </w:t>
            </w:r>
            <w:r>
              <w:rPr>
                <w:rFonts w:ascii="Times New Roman" w:hAnsi="Times New Roman" w:cs="Times New Roman"/>
                <w:iCs/>
              </w:rPr>
              <w:t xml:space="preserve">ОПК-7.3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</w:rPr>
              <w:t xml:space="preserve">ОПК-8.1</w:t>
            </w:r>
            <w:r>
              <w:rPr>
                <w:rFonts w:ascii="Times New Roman" w:hAnsi="Times New Roman" w:cs="Times New Roman"/>
                <w:iCs/>
              </w:rPr>
              <w:t xml:space="preserve">; </w:t>
            </w:r>
            <w:r>
              <w:rPr>
                <w:rFonts w:ascii="Times New Roman" w:hAnsi="Times New Roman" w:cs="Times New Roman"/>
                <w:iCs/>
              </w:rPr>
              <w:t xml:space="preserve">ОПК-8.2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ПК-</w:t>
            </w:r>
            <w:r>
              <w:rPr>
                <w:rFonts w:ascii="Times New Roman" w:hAnsi="Times New Roman" w:cs="Times New Roman"/>
                <w:iCs/>
              </w:rPr>
              <w:t xml:space="preserve">1</w:t>
            </w:r>
            <w:r>
              <w:rPr>
                <w:rFonts w:ascii="Times New Roman" w:hAnsi="Times New Roman" w:cs="Times New Roman"/>
                <w:iCs/>
              </w:rPr>
              <w:t xml:space="preserve">.1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ПК-</w:t>
            </w:r>
            <w:r>
              <w:rPr>
                <w:rFonts w:ascii="Times New Roman" w:hAnsi="Times New Roman" w:cs="Times New Roman"/>
                <w:iCs/>
              </w:rPr>
              <w:t xml:space="preserve">1</w:t>
            </w:r>
            <w:r>
              <w:rPr>
                <w:rFonts w:ascii="Times New Roman" w:hAnsi="Times New Roman" w:cs="Times New Roman"/>
                <w:iCs/>
              </w:rPr>
              <w:t xml:space="preserve">.2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ПК-2.</w:t>
            </w:r>
            <w:r>
              <w:rPr>
                <w:rFonts w:ascii="Times New Roman" w:hAnsi="Times New Roman" w:cs="Times New Roman"/>
                <w:iCs/>
              </w:rPr>
              <w:t xml:space="preserve">1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ПК-2.</w:t>
            </w:r>
            <w:r>
              <w:rPr>
                <w:rFonts w:ascii="Times New Roman" w:hAnsi="Times New Roman" w:cs="Times New Roman"/>
                <w:iCs/>
              </w:rPr>
              <w:t xml:space="preserve">2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ПК-</w:t>
            </w:r>
            <w:r>
              <w:rPr>
                <w:rFonts w:ascii="Times New Roman" w:hAnsi="Times New Roman" w:cs="Times New Roman"/>
                <w:iCs/>
              </w:rPr>
              <w:t xml:space="preserve">3</w:t>
            </w:r>
            <w:r>
              <w:rPr>
                <w:rFonts w:ascii="Times New Roman" w:hAnsi="Times New Roman" w:cs="Times New Roman"/>
                <w:iCs/>
              </w:rPr>
              <w:t xml:space="preserve">.</w:t>
            </w:r>
            <w:r>
              <w:rPr>
                <w:rFonts w:ascii="Times New Roman" w:hAnsi="Times New Roman" w:cs="Times New Roman"/>
                <w:iCs/>
              </w:rPr>
              <w:t xml:space="preserve">1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ПК-</w:t>
            </w:r>
            <w:r>
              <w:rPr>
                <w:rFonts w:ascii="Times New Roman" w:hAnsi="Times New Roman" w:cs="Times New Roman"/>
                <w:iCs/>
              </w:rPr>
              <w:t xml:space="preserve">3</w:t>
            </w:r>
            <w:r>
              <w:rPr>
                <w:rFonts w:ascii="Times New Roman" w:hAnsi="Times New Roman" w:cs="Times New Roman"/>
                <w:iCs/>
              </w:rPr>
              <w:t xml:space="preserve">.</w:t>
            </w:r>
            <w:r>
              <w:rPr>
                <w:rFonts w:ascii="Times New Roman" w:hAnsi="Times New Roman" w:cs="Times New Roman"/>
                <w:iCs/>
              </w:rPr>
              <w:t xml:space="preserve">2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ПК-</w:t>
            </w:r>
            <w:r>
              <w:rPr>
                <w:rFonts w:ascii="Times New Roman" w:hAnsi="Times New Roman" w:cs="Times New Roman"/>
                <w:iCs/>
              </w:rPr>
              <w:t xml:space="preserve">3.3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ПК-</w:t>
            </w:r>
            <w:r>
              <w:rPr>
                <w:rFonts w:ascii="Times New Roman" w:hAnsi="Times New Roman" w:cs="Times New Roman"/>
                <w:iCs/>
              </w:rPr>
              <w:t xml:space="preserve">3</w:t>
            </w:r>
            <w:r>
              <w:rPr>
                <w:rFonts w:ascii="Times New Roman" w:hAnsi="Times New Roman" w:cs="Times New Roman"/>
                <w:iCs/>
              </w:rPr>
              <w:t xml:space="preserve">.</w:t>
            </w:r>
            <w:r>
              <w:rPr>
                <w:rFonts w:ascii="Times New Roman" w:hAnsi="Times New Roman" w:cs="Times New Roman"/>
                <w:iCs/>
              </w:rPr>
              <w:t xml:space="preserve">4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ПК-4.1; ПК-5.1; ПК-5.2; ПК-5.3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ff0000"/>
              </w:rPr>
            </w:r>
          </w:p>
        </w:tc>
      </w:tr>
      <w:tr>
        <w:tblPrEx/>
        <w:trPr>
          <w:trHeight w:val="310"/>
        </w:trPr>
        <w:tc>
          <w:tcPr>
            <w:tcW w:w="552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NewRomanPSMT" w:cs="Times New Roman"/>
                <w:sz w:val="24"/>
                <w:szCs w:val="24"/>
              </w:rPr>
              <w:t xml:space="preserve">Разработка детали проекта – основной части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474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</w:rPr>
            </w:pPr>
            <w:r>
              <w:rPr>
                <w:rFonts w:ascii="Times New Roman" w:hAnsi="Times New Roman" w:cs="Times New Roman"/>
                <w:iCs/>
              </w:rPr>
              <w:t xml:space="preserve">УК-1.3; </w:t>
            </w:r>
            <w:r>
              <w:rPr>
                <w:rFonts w:ascii="Times New Roman" w:hAnsi="Times New Roman" w:cs="Times New Roman"/>
                <w:iCs/>
              </w:rPr>
              <w:t xml:space="preserve">ОПК-1.1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ОПК-1.2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ОПК-1.3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ОПК-1.4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ОПК-1.6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ОПК-3.1</w:t>
            </w:r>
            <w:r>
              <w:rPr>
                <w:rFonts w:ascii="Times New Roman" w:hAnsi="Times New Roman" w:cs="Times New Roman"/>
                <w:iCs/>
              </w:rPr>
              <w:t xml:space="preserve">; </w:t>
            </w:r>
            <w:r>
              <w:rPr>
                <w:rFonts w:ascii="Times New Roman" w:hAnsi="Times New Roman" w:cs="Times New Roman"/>
                <w:iCs/>
              </w:rPr>
              <w:t xml:space="preserve">ОПК-3.2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ОПК-3.3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ОПК-4.2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ОПК-4.3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ОПК-4.4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ОПК-4.5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ОПК-4.6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ОПК-4.7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ОПК-4.8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ОПК-4.2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ОПК-4.3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ОПК-4.4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ОПК-4.5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ОПК-4.6</w:t>
            </w:r>
            <w:r>
              <w:rPr>
                <w:rFonts w:ascii="Times New Roman" w:hAnsi="Times New Roman" w:cs="Times New Roman"/>
                <w:iCs/>
              </w:rPr>
              <w:t xml:space="preserve">; </w:t>
            </w:r>
            <w:r>
              <w:rPr>
                <w:rFonts w:ascii="Times New Roman" w:hAnsi="Times New Roman" w:cs="Times New Roman"/>
                <w:iCs/>
              </w:rPr>
              <w:t xml:space="preserve">ОПК-4.7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ОПК-4.8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</w:rPr>
              <w:t xml:space="preserve">ОПК-5.2; </w:t>
            </w:r>
            <w:r>
              <w:rPr>
                <w:rFonts w:ascii="Times New Roman" w:hAnsi="Times New Roman" w:cs="Times New Roman"/>
                <w:iCs/>
              </w:rPr>
              <w:t xml:space="preserve">ОПК-7.2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ОПК-7.3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</w:rPr>
              <w:t xml:space="preserve">ОПК-8.1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ОПК-8.2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</w:rPr>
              <w:t xml:space="preserve">ОПК-10.3; ПК-1.2; </w:t>
            </w:r>
            <w:r>
              <w:rPr>
                <w:rFonts w:ascii="Times New Roman" w:hAnsi="Times New Roman" w:cs="Times New Roman"/>
                <w:iCs/>
              </w:rPr>
              <w:t xml:space="preserve">ПК-2.1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ПК-2.2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</w:rPr>
              <w:t xml:space="preserve"> ПК-3.1; ПК-3.2; ПК-3.3; ПК-3.4; </w:t>
            </w:r>
            <w:r>
              <w:rPr>
                <w:rFonts w:ascii="Times New Roman" w:hAnsi="Times New Roman" w:cs="Times New Roman"/>
                <w:iCs/>
              </w:rPr>
              <w:t xml:space="preserve">ПК-</w:t>
            </w:r>
            <w:r>
              <w:rPr>
                <w:rFonts w:ascii="Times New Roman" w:hAnsi="Times New Roman" w:cs="Times New Roman"/>
                <w:iCs/>
              </w:rPr>
              <w:t xml:space="preserve">4</w:t>
            </w:r>
            <w:r>
              <w:rPr>
                <w:rFonts w:ascii="Times New Roman" w:hAnsi="Times New Roman" w:cs="Times New Roman"/>
                <w:iCs/>
              </w:rPr>
              <w:t xml:space="preserve">.</w:t>
            </w:r>
            <w:r>
              <w:rPr>
                <w:rFonts w:ascii="Times New Roman" w:hAnsi="Times New Roman" w:cs="Times New Roman"/>
                <w:iCs/>
              </w:rPr>
              <w:t xml:space="preserve">1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>
              <w:t xml:space="preserve"> </w:t>
            </w:r>
            <w:r>
              <w:rPr>
                <w:rFonts w:ascii="Times New Roman" w:hAnsi="Times New Roman" w:cs="Times New Roman"/>
                <w:iCs/>
              </w:rPr>
              <w:t xml:space="preserve">ПК-5.1; ПК-5.2; ПК-5.3</w:t>
            </w:r>
            <w:r>
              <w:rPr>
                <w:rFonts w:ascii="Times New Roman" w:hAnsi="Times New Roman" w:cs="Times New Roman"/>
                <w:iCs/>
              </w:rPr>
              <w:t xml:space="preserve">; ПК-6.1; ПК-7.2</w:t>
            </w:r>
            <w:r>
              <w:rPr>
                <w:rFonts w:ascii="Times New Roman" w:hAnsi="Times New Roman" w:cs="Times New Roman"/>
                <w:iCs/>
                <w:color w:val="ff0000"/>
              </w:rPr>
            </w:r>
          </w:p>
        </w:tc>
      </w:tr>
      <w:tr>
        <w:tblPrEx/>
        <w:trPr>
          <w:trHeight w:val="310"/>
        </w:trPr>
        <w:tc>
          <w:tcPr>
            <w:tcW w:w="552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NewRomanPSMT" w:cs="Times New Roman"/>
                <w:sz w:val="24"/>
                <w:szCs w:val="24"/>
              </w:rPr>
              <w:t xml:space="preserve">Полнота обоснования экономического эффекта от внедрения проекта, выполнение экономической части ВКР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474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ОПК-7.1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</w:rPr>
              <w:t xml:space="preserve">ОПК-9.1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ОПК-9.2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УК-2.1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</w:rPr>
              <w:t xml:space="preserve">УК-2.2</w:t>
            </w:r>
            <w:r>
              <w:rPr>
                <w:rFonts w:ascii="Times New Roman" w:hAnsi="Times New Roman" w:cs="Times New Roman"/>
                <w:iCs/>
              </w:rPr>
              <w:t xml:space="preserve">; УК-9.1; УК-9.2</w:t>
            </w:r>
            <w:r>
              <w:rPr>
                <w:rFonts w:ascii="Times New Roman" w:hAnsi="Times New Roman" w:cs="Times New Roman"/>
                <w:iCs/>
              </w:rPr>
              <w:t xml:space="preserve">; ПК-7.1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ff0000"/>
              </w:rPr>
            </w:r>
          </w:p>
        </w:tc>
      </w:tr>
      <w:tr>
        <w:tblPrEx/>
        <w:trPr>
          <w:trHeight w:val="310"/>
        </w:trPr>
        <w:tc>
          <w:tcPr>
            <w:tcW w:w="5524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NewRomanPSMT" w:cs="Times New Roman"/>
                <w:sz w:val="24"/>
                <w:szCs w:val="24"/>
              </w:rPr>
              <w:t xml:space="preserve">Разработка раздела «Безопасность и экологичность проекта»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474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</w:rPr>
            </w:pPr>
            <w:r>
              <w:rPr>
                <w:rFonts w:ascii="Times New Roman" w:hAnsi="Times New Roman" w:cs="Times New Roman"/>
                <w:iCs/>
              </w:rPr>
              <w:t xml:space="preserve">УК-8.1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УК-8.2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УК-8.3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ОПК-1.5</w:t>
            </w:r>
            <w:r>
              <w:rPr>
                <w:rFonts w:ascii="Times New Roman" w:hAnsi="Times New Roman" w:cs="Times New Roman"/>
                <w:iCs/>
                <w:color w:val="ff0000"/>
              </w:rPr>
            </w:r>
          </w:p>
        </w:tc>
      </w:tr>
      <w:tr>
        <w:tblPrEx/>
        <w:trPr>
          <w:trHeight w:val="310"/>
        </w:trPr>
        <w:tc>
          <w:tcPr>
            <w:tcW w:w="552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NewRomanPSMT" w:cs="Times New Roman"/>
                <w:sz w:val="24"/>
                <w:szCs w:val="24"/>
              </w:rPr>
              <w:t xml:space="preserve">Разработка раздела «Обеспечение безопасности движения»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474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ОПК-6.1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ОПК-6.2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ОПК-6.3</w:t>
            </w:r>
            <w:r>
              <w:rPr>
                <w:rFonts w:ascii="Times New Roman" w:hAnsi="Times New Roman" w:cs="Times New Roman"/>
                <w:iCs/>
              </w:rPr>
              <w:t xml:space="preserve">; ПК-4.2; ПК-4.3</w:t>
            </w:r>
            <w:r>
              <w:rPr>
                <w:rFonts w:ascii="Times New Roman" w:hAnsi="Times New Roman" w:cs="Times New Roman"/>
                <w:iCs/>
                <w:color w:val="ff0000"/>
              </w:rPr>
            </w:r>
          </w:p>
        </w:tc>
      </w:tr>
      <w:tr>
        <w:tblPrEx/>
        <w:trPr>
          <w:trHeight w:val="1438"/>
        </w:trPr>
        <w:tc>
          <w:tcPr>
            <w:tcW w:w="552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NewRomanPSMT" w:cs="Times New Roman"/>
                <w:sz w:val="24"/>
                <w:szCs w:val="24"/>
              </w:rPr>
              <w:t xml:space="preserve">Содержание и качество оформления пояснительной записки дипломного проекта (соответствие заданию, требованиям к структуре, полнота раскрытия темы исследования и пр.)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474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ОПК-2.1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УК-4.1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УК-4.2</w:t>
            </w:r>
            <w:r>
              <w:rPr>
                <w:rFonts w:ascii="Times New Roman" w:hAnsi="Times New Roman" w:cs="Times New Roman"/>
                <w:iCs/>
              </w:rPr>
              <w:t xml:space="preserve">; ПК-8.1; ПК-8.2</w:t>
            </w:r>
            <w:r>
              <w:rPr>
                <w:rFonts w:ascii="Times New Roman" w:hAnsi="Times New Roman" w:cs="Times New Roman"/>
                <w:iCs/>
                <w:color w:val="ff0000"/>
              </w:rPr>
            </w:r>
          </w:p>
        </w:tc>
      </w:tr>
      <w:tr>
        <w:tblPrEx/>
        <w:trPr>
          <w:trHeight w:val="310"/>
        </w:trPr>
        <w:tc>
          <w:tcPr>
            <w:tcW w:w="552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NewRomanPSMT" w:cs="Times New Roman"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eastAsia="TimesNewRomanPSMT" w:cs="Times New Roman"/>
                <w:sz w:val="24"/>
                <w:szCs w:val="24"/>
              </w:rPr>
              <w:t xml:space="preserve">и качество выполнения </w:t>
            </w:r>
            <w:r>
              <w:rPr>
                <w:rFonts w:ascii="Times New Roman" w:hAnsi="Times New Roman" w:eastAsia="TimesNewRomanPSMT" w:cs="Times New Roman"/>
                <w:sz w:val="24"/>
                <w:szCs w:val="24"/>
              </w:rPr>
              <w:t xml:space="preserve">графической части ВКР (отражение основных полученных результатов; соответствие заданию и пр.)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474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ОПК-4.1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t xml:space="preserve"> </w:t>
            </w:r>
            <w:r>
              <w:rPr>
                <w:rFonts w:ascii="Times New Roman" w:hAnsi="Times New Roman" w:cs="Times New Roman"/>
                <w:iCs/>
              </w:rPr>
              <w:t xml:space="preserve">ПК-8.1; ПК-8.2</w:t>
            </w:r>
            <w:r>
              <w:rPr>
                <w:rFonts w:ascii="Times New Roman" w:hAnsi="Times New Roman" w:cs="Times New Roman"/>
                <w:iCs/>
                <w:color w:val="ff0000"/>
              </w:rPr>
            </w:r>
          </w:p>
        </w:tc>
      </w:tr>
      <w:tr>
        <w:tblPrEx/>
        <w:trPr>
          <w:trHeight w:val="310"/>
        </w:trPr>
        <w:tc>
          <w:tcPr>
            <w:tcW w:w="552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NewRomanPSMT" w:cs="Times New Roman"/>
                <w:sz w:val="24"/>
                <w:szCs w:val="24"/>
              </w:rPr>
              <w:t xml:space="preserve">Умение представить работу на защите</w:t>
            </w:r>
            <w:r>
              <w:rPr>
                <w:rFonts w:ascii="Times New Roman" w:hAnsi="Times New Roman" w:eastAsia="TimesNewRomanPSMT" w:cs="Times New Roman"/>
                <w:sz w:val="24"/>
                <w:szCs w:val="24"/>
              </w:rPr>
              <w:t xml:space="preserve"> (предварительной защите)</w:t>
            </w:r>
            <w:r>
              <w:rPr>
                <w:rFonts w:ascii="Times New Roman" w:hAnsi="Times New Roman" w:eastAsia="TimesNewRomanPSMT" w:cs="Times New Roman"/>
                <w:sz w:val="24"/>
                <w:szCs w:val="24"/>
              </w:rPr>
              <w:t xml:space="preserve">, уровень речевой культуры; владение профессиональной лексикой (терминологией</w:t>
            </w:r>
            <w:r>
              <w:rPr>
                <w:rFonts w:ascii="Times New Roman" w:hAnsi="Times New Roman" w:eastAsia="TimesNewRomanPSMT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eastAsia="TimesNewRomanPSMT" w:cs="Times New Roman"/>
                <w:sz w:val="24"/>
                <w:szCs w:val="24"/>
              </w:rPr>
              <w:t xml:space="preserve">;  полнота</w:t>
            </w:r>
            <w:r>
              <w:rPr>
                <w:rFonts w:ascii="Times New Roman" w:hAnsi="Times New Roman" w:eastAsia="TimesNewRomanPSMT" w:cs="Times New Roman"/>
                <w:sz w:val="24"/>
                <w:szCs w:val="24"/>
              </w:rPr>
              <w:t xml:space="preserve"> и аргументация ответов на дополнительные вопросы комиссии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474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</w:rPr>
            </w:pPr>
            <w:r>
              <w:rPr>
                <w:rFonts w:ascii="Times New Roman" w:hAnsi="Times New Roman" w:cs="Times New Roman"/>
                <w:iCs/>
              </w:rPr>
              <w:t xml:space="preserve">УК-4.1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УК-4.2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УК-4.3</w:t>
            </w:r>
            <w:r>
              <w:rPr>
                <w:rFonts w:ascii="Times New Roman" w:hAnsi="Times New Roman" w:cs="Times New Roman"/>
                <w:iCs/>
                <w:color w:val="ff0000"/>
              </w:rPr>
            </w:r>
          </w:p>
        </w:tc>
      </w:tr>
      <w:tr>
        <w:tblPrEx/>
        <w:trPr>
          <w:trHeight w:val="310"/>
        </w:trPr>
        <w:tc>
          <w:tcPr>
            <w:tcW w:w="552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NewRomanPSMT" w:cs="Times New Roman"/>
                <w:sz w:val="24"/>
                <w:szCs w:val="24"/>
              </w:rPr>
              <w:t xml:space="preserve">Оценка ВКР руководителем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474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</w:rPr>
            </w:pPr>
            <w:r>
              <w:rPr>
                <w:rFonts w:ascii="Times New Roman" w:hAnsi="Times New Roman" w:cs="Times New Roman"/>
                <w:iCs/>
              </w:rPr>
              <w:t xml:space="preserve">УК-3.1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УК-3.2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УК-6.1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УК-6.2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УК-7.1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УК-7.2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УК-7.3</w:t>
            </w:r>
            <w:r>
              <w:rPr>
                <w:rFonts w:ascii="Times New Roman" w:hAnsi="Times New Roman" w:cs="Times New Roman"/>
                <w:iCs/>
              </w:rPr>
              <w:t xml:space="preserve">; УК-10.1; УК-10.2</w:t>
            </w:r>
            <w:r>
              <w:rPr>
                <w:rFonts w:ascii="Times New Roman" w:hAnsi="Times New Roman" w:cs="Times New Roman"/>
                <w:iCs/>
                <w:color w:val="ff0000"/>
              </w:rPr>
            </w:r>
          </w:p>
        </w:tc>
      </w:tr>
      <w:tr>
        <w:tblPrEx/>
        <w:trPr>
          <w:trHeight w:val="310"/>
        </w:trPr>
        <w:tc>
          <w:tcPr>
            <w:tcW w:w="552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NewRomanPSMT" w:cs="Times New Roman"/>
                <w:sz w:val="24"/>
                <w:szCs w:val="24"/>
              </w:rPr>
              <w:t xml:space="preserve">Оценка ВКР рецензентом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474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</w:rPr>
            </w:pPr>
            <w:r>
              <w:rPr>
                <w:rFonts w:ascii="Times New Roman" w:hAnsi="Times New Roman" w:cs="Times New Roman"/>
                <w:iCs/>
              </w:rPr>
              <w:t xml:space="preserve">ПК-2.</w:t>
            </w:r>
            <w:r>
              <w:rPr>
                <w:rFonts w:ascii="Times New Roman" w:hAnsi="Times New Roman" w:cs="Times New Roman"/>
                <w:iCs/>
              </w:rPr>
              <w:t xml:space="preserve">1</w:t>
            </w:r>
            <w:r>
              <w:rPr>
                <w:rFonts w:ascii="Times New Roman" w:hAnsi="Times New Roman" w:cs="Times New Roman"/>
                <w:iCs/>
              </w:rPr>
              <w:t xml:space="preserve">;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</w:rPr>
              <w:t xml:space="preserve"> ПК</w:t>
            </w:r>
            <w:r>
              <w:rPr>
                <w:rFonts w:ascii="Times New Roman" w:hAnsi="Times New Roman" w:cs="Times New Roman"/>
                <w:iCs/>
              </w:rPr>
              <w:t xml:space="preserve">-2.1; ПК-2.2;  ПК-6.1</w:t>
            </w:r>
            <w:r>
              <w:rPr>
                <w:rFonts w:ascii="Times New Roman" w:hAnsi="Times New Roman" w:cs="Times New Roman"/>
                <w:iCs/>
                <w:color w:val="ff0000"/>
              </w:rPr>
            </w:r>
          </w:p>
        </w:tc>
      </w:tr>
      <w:tr>
        <w:tblPrEx/>
        <w:trPr>
          <w:trHeight w:val="310"/>
        </w:trPr>
        <w:tc>
          <w:tcPr>
            <w:tcW w:w="552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NewRomanPSMT" w:cs="Times New Roman"/>
                <w:sz w:val="24"/>
                <w:szCs w:val="24"/>
              </w:rPr>
              <w:t xml:space="preserve">Наличие научной новизны в проведенных исследованиях и полученных результатах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474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ОПК-10.1</w:t>
            </w:r>
            <w:r>
              <w:rPr>
                <w:rFonts w:ascii="Times New Roman" w:hAnsi="Times New Roman" w:cs="Times New Roman"/>
                <w:iCs/>
              </w:rPr>
              <w:t xml:space="preserve">; </w:t>
            </w:r>
            <w:r>
              <w:rPr>
                <w:rFonts w:ascii="Times New Roman" w:hAnsi="Times New Roman" w:cs="Times New Roman"/>
                <w:iCs/>
              </w:rPr>
              <w:t xml:space="preserve">ОПК-10.2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ff0000"/>
              </w:rPr>
            </w:r>
          </w:p>
        </w:tc>
      </w:tr>
      <w:tr>
        <w:tblPrEx/>
        <w:trPr>
          <w:trHeight w:val="360"/>
        </w:trPr>
        <w:tc>
          <w:tcPr>
            <w:tcW w:w="552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NewRomanPSMT" w:cs="Times New Roman"/>
                <w:sz w:val="24"/>
                <w:szCs w:val="24"/>
              </w:rPr>
              <w:t xml:space="preserve">Степень обоснованности выводов и заключения ВКР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  <w:tc>
          <w:tcPr>
            <w:tcW w:w="474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</w:rPr>
            </w:pPr>
            <w:r>
              <w:rPr>
                <w:rFonts w:ascii="Times New Roman" w:hAnsi="Times New Roman" w:cs="Times New Roman"/>
                <w:iCs/>
              </w:rPr>
              <w:t xml:space="preserve">УК-1.1</w:t>
            </w:r>
            <w:r>
              <w:rPr>
                <w:rFonts w:ascii="Times New Roman" w:hAnsi="Times New Roman" w:cs="Times New Roman"/>
                <w:iCs/>
              </w:rPr>
              <w:t xml:space="preserve">; </w:t>
            </w:r>
            <w:r>
              <w:rPr>
                <w:rFonts w:ascii="Times New Roman" w:hAnsi="Times New Roman" w:cs="Times New Roman"/>
                <w:iCs/>
              </w:rPr>
              <w:t xml:space="preserve">УК-1.2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ff0000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  <w:sectPr>
          <w:footnotePr/>
          <w:endnotePr/>
          <w:type w:val="nextPage"/>
          <w:pgSz w:w="11907" w:h="16839" w:orient="portrait"/>
          <w:pgMar w:top="567" w:right="567" w:bottom="567" w:left="567" w:header="720" w:footer="720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/>
          <w:sz w:val="24"/>
          <w:szCs w:val="24"/>
        </w:rPr>
        <w:br w:type="textWrapping" w:clear="all"/>
      </w:r>
      <w:bookmarkEnd w:id="0"/>
      <w:r/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3. 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Примерный перечень тем выпускных квалификационных работ, предлагаемых обучающимся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Совершенствов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ание технологии технического обслуживания грузовых вагонов на ПТО (расчет потребного количества бригад осмотрщиков в парках ПТО, выбор потребного оборудования и инструментов, внедрение современных технологий осмотра вагонов и организации текущего ремонта).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Совершенствование технологии подготовки грузовых вагонов к перевозкам (расчет потребного количества бригад осмотрщиков на ППВ, выбор потребного оборудования и инструментов, внедрение современных технологий организации текущего ремонта).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Совершенствование технологии текущего отцепочного ремонта грузовых вагонов на ПТО (выбор потребного числа путей и оборудования участка ТОР, внедрение современных технологий текущего ремонта, охрана труда при ремонте вагонов).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4.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Совершенствование технологии технического обслуживания 4-х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осной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цистерны на промывочно-пропарочных станциях (выбор потребного числа путей и оборудования на ППС, внедрение энергосберегающих технологий пропарки, охрана труда при пропарке цистерн).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5.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Совершенствование деповского ремонта 4-х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осной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цистерны (выбор метода ремонта, потребного числа путей и позиций ремонта, числа работников, внедрение нового оборудования, информационных технологий, современных методов организации труда, охрана труда при деповском ремонте вагонов).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6.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Совершенствование деповского ремонта котла 4-х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осной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цистерны (выбор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метода ремонта, потребного числа путей и позиций ремонта на вагоносборочном участке депо, числа работников, внедрение нового оборудования, информационных технологий, современных методов организации труда, охрана труда при деповском ремонте котла цистерны).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7.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Совершенствование деповского ремонта тележки грузового вагона (выбор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метода ремонта, потребного числа путей и позиций ремонта на тележечном участке, числа работников, внедрение нового оборудования, информационных технологий, современных методов организации труда, охрана труда при деповском ремонте тележки грузового вагона).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8.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Совершенствование деповского ремонта колесных пар грузового вагона (выбор метода ремон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та, потребного числа путей и позиций ремонта на колесно-роликовом участке, числа работников, внедрение нового оборудования, информационных технологий, современных методов организации труда, охрана труда при деповском ремонте колесных пар грузового вагона).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9.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Совершенствование обслуживания тормозов в парке отправления ПТО (внедрение нового оборудования, информационных технологий, современных методов организации труда, охрана труда при обслуживании тормозов в парке отправления ПТО).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10.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 Совершенствование технологии осмотра грузовых вагонов в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приемо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-отправочном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парке ПТО (расчет потребного количества путей и бригад осмотрщиков в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приемо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-отправочном парке ПТО, выбор потребного оборудования и инструментов, внедрение современных технологий осмотра вагонов).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11.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Организация текущего отцепочного ремонта грузовых вагонов с детализацией средств механизации (выбор потребного числа путей и оборудования участка ТОР, внедрение современных технологий текущего ремонта, охрана труда при ремонте вагонов).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12.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Методы выявления неисправности буксовых узлов с применением автоматизированных устройств (КТСМ, ПАУК) ПТО (расчет потребного количества путей и бригад осмотрщиков в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приемо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-отправочном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парке ПТО, анализ работы автоматизированных устройств (КТСМ, ПАУК), внедрение современных технологий осмотра вагонов).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13.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Совершенствование технологии выявления трещин и литейных дефектов боковых рам на ПТО (расчет потребного количества путей и бригад осмотрщиков в парке прибытия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сортировочной станции, анализ работы систем и приспособлений выявления дефектов литья на ПТО, внедрение оборудования по выявлению дефектного литья на ПТО).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14.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Организация и технология работы механизированного пункта текущего отцепочного ремонта при ремонте тележек грузовых вагонов с осевой нагрузкой 245 кН (25тс) (расчет потребного количеств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 путей и бригад слесарей по ремонту подвижного состава на участке МПРВ, анализ работы МПРВ при ремонте тележек грузовых вагонов с осевой нагрузкой 245 кН (25тс), внедрение оборудования по ремонту тележек грузовых вагонов с осевой нагрузкой 245 кН (25тс)).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15.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Совершенствование технологии осмотра грузового состава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«сходу» с применением автоматизированных диагностических средств (расчет потребного количества путей и бригад осмотрщиков в парке прибытия ПТО, анализ работы систем выявления неисправностей вагонов, внедрение современных диагностических комплексов на ПТО).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16.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Совершенствование техно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логии зарядки и опробования автотормозов на ПТО (расчет потребного количества путей и бригад осмотрщиков в парке отправления ПТО, анализ систем контроля и диагностирования автотормозов, внедрение современных диагностических комплексов автотормозов на ПТО).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17.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Совершенствование технологии технического обслуживания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колесных пар грузовых вагонов на ПТО (расчет потребного количества путей и бригад осмотрщиков в парке отправления ПТО, анализ средств механизации обслуживания колесных пар на ПТО, внедрение современных средств механизации обслуживания колесных пар на ПТО).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18.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Организация автоматизированного комплексного контроля технического состояния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тележек грузовых вагонов в эксплуатации (расчет потребного количества путей и бригад осмотрщиков на ПТО, анализ средств автоматизированного комплексного контроля технического состояния тележек грузовых вагонов в эксплуатации, внедрение современных средств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авто-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матизированного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комплексного контроля технического состояния тележек грузовых вагонов в эксплуатации).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19.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Совершенствование организации работ участка ТОР путем внедрения концепций бережливо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го производства (расчет потребного количества путей и бригад слесарей по ремонту подвижного состава на участке ТОР, анализ работы ТОР при ремонте грузовых вагонов, внедрение концепций «Бережливого производства» при ремонте грузовых вагонов на участке ТОР).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20.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Комплексный подход в организации технического обслуж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ивания автотормозов грузовых вагонов на ПТО (расчет потребного количества путей и бригад осмотрщиков в парке отправления ПТО, анализ систем технического обслуживания автотормозов, внедрение современных систем технического обслуживания автотормозов на ПТО).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21.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Организация  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технология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безотцепочного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ремонта грузовых вагонов в условиях ПТО с применением современных средств механизации (расчет потребного количества путей и бригад осмотрщиков в парке отправления ПТО, анализ технологии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безотцепочного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ремонта грузовых вагонов, внедрение современных механизированных комплексов при проведении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безотцепочного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ремонта грузовых вагонов).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22.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Организация и технология контроля ходовых частей грузовых вагонов в эксплуатации с использованием комплекса техническ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их измерений (расчет потребного количества путей и бригад осмотрщиков в парке прибытия, анализ систем технического обслуживания ходовых частей грузовых вагонов, внедрение современных систем технического обслуживания ходовых частей грузовых вагонов на ПТО).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23.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Внедрение системы менеджмента качества в техническом об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служивании грузовых вагонов на ПТО (расчет потребного количества путей и бригад осмотрщиков на ПТО, анализ работы ПТО при техническом обслуживании грузовых вагонов, внедрение системы менеджмента качества в техническом обслуживании грузовых вагонов на ПТО).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24.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Совершенствование технологии испытаний автотормозов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пасса-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жирских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вагонов на ЛПТО (расчет потребного количества путей и бригад осмотрщиков в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приемо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-отправочном парке.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25. Повышение уровня теоретических знаний осмотрщиков-ремонтников вагонов.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26. Специализированный контейнер для перевозки твердых коммунальных отходов с внутренним конвейером.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27. Оптимизация производственных процессов в структурных подразделениях железной дороги, посредством дооборудования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приемо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-отправочного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парка ПТО. Совершенствование технологии технического обслуживания ходовых частей грузовых вагонов в парке прибытия ПТО на основе внедрения инновационного оборудования.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28. Повышение уровня технической оснащенности работников ПТО путем внедрения новых технических средств.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29. Внедрение инновационных материалов (алюминиевых сплавов) в конструкции крытого вагона.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30. Внедрение инновационных технических систем для диагностики грузового подвижного состава на подходе к ПТО.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31. Передовая технология восстановления корпуса автосцепки грузового вагона на основе внедрения роботизированных систем в вагоноремонтном депо.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32. Внедрение инновационной технологии "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блокчейн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" при ремонте грузовых вагонов.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33. Организация технического обслуживания буксовых узлов грузовых вагонов в парке прибытия ПТО с применением инновационного оборудования.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34. Оптимизация производственных процессов в структурных подразделениях железной дороги. Повышение качества контроля литых деталей ходовых частей грузовых вагонов на ПТО.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35. Разработка робототехнического комплекса для проведения технического обслуживания грузовых вагонов на ПТО.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36. Применение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термоиндикаторов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для визуального определения критических температур нагрева буксовых узлов при техническом обслуживании грузовых вагонов.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37. Применение тягового транспортного средства для маневровых работ на участке текущего отцепочного ремонта грузовых вагонов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38. Определение места утечки газо-осушительной смеси при опробовании автотормозов на ПТО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</w:r>
    </w:p>
    <w:p>
      <w:pPr>
        <w:jc w:val="both"/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left="-284" w:right="-144"/>
        <w:jc w:val="center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left="-284" w:right="-144"/>
        <w:jc w:val="center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left="-284" w:right="-144"/>
        <w:jc w:val="center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left="-284" w:right="-144"/>
        <w:jc w:val="center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left="-284" w:right="-144"/>
        <w:jc w:val="center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left="-284" w:right="-144"/>
        <w:jc w:val="center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left="-284" w:right="-144"/>
        <w:jc w:val="center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left="-284" w:right="-144"/>
        <w:jc w:val="center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left="-284" w:right="-144"/>
        <w:jc w:val="center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left="-284" w:right="-144"/>
        <w:jc w:val="center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left="-284" w:right="-144"/>
        <w:jc w:val="center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left="-284" w:right="-144"/>
        <w:jc w:val="center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left="-284" w:right="-144"/>
        <w:jc w:val="center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left="-284" w:right="-144"/>
        <w:jc w:val="center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left="-284" w:right="-144"/>
        <w:jc w:val="center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left="-284" w:right="-144"/>
        <w:jc w:val="center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left="-284" w:right="-144"/>
        <w:jc w:val="center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left="-284" w:right="-144"/>
        <w:jc w:val="center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left="-284" w:right="-144"/>
        <w:jc w:val="center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left="-284" w:right="-144"/>
        <w:jc w:val="center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left="-284" w:right="-144"/>
        <w:jc w:val="center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left="-284" w:right="-144"/>
        <w:jc w:val="center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left="-284" w:right="-144"/>
        <w:jc w:val="center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left="-284" w:right="-144"/>
        <w:jc w:val="center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left="-284" w:right="-144"/>
        <w:jc w:val="center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left="-284" w:right="-144"/>
        <w:jc w:val="center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left="-284" w:right="-144"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-284" w:right="-144"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Описание процедуры подготовки к защите дипломного проекта.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-284" w:right="-144" w:firstLine="709"/>
        <w:jc w:val="both"/>
        <w:spacing w:after="0" w:line="240" w:lineRule="auto"/>
        <w:widowControl w:val="off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К защите ВКР (дипломного проекта) допускаются студенты, успешно завершившие в полном объеме освоение ОПОП ВО специалитета «Грузовые вагоны» по специальности 23.05.03 «Подвижной состав железных дорог», т.е. не имеющие академических задолженн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остей, и представившие секретарю ГЭК пояснительную записку ВКР с отзывом руководителя и рецензией в установленный срок – не позднее, чем за 2 дня до начала работы ГЭК. Получение отрицательных отзывов не является препятствием к представлению ВКР на защиту. 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</w:r>
    </w:p>
    <w:p>
      <w:pPr>
        <w:ind w:left="-284" w:right="-144"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Допуск к защите ВКР осуществляется заведующим кафедрой на основании рассмотрения: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</w:r>
    </w:p>
    <w:p>
      <w:pPr>
        <w:ind w:left="-284" w:right="-144"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- законченной и подписанной автором пояснительной записки ВКР;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</w:r>
    </w:p>
    <w:p>
      <w:pPr>
        <w:ind w:left="-284" w:right="-144"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- отчёта системы «Антиплагиат», подтверждающего прохождение порогового значения оригинальности текста ВКР;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</w:r>
    </w:p>
    <w:p>
      <w:pPr>
        <w:ind w:left="-284" w:right="-144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- письменного отзыва руководителя при полном выполнении технического задания на работу и соответствии ВКР нормативным документам (требованиям, стандартам); 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</w:r>
    </w:p>
    <w:p>
      <w:pPr>
        <w:ind w:left="-284" w:right="-144"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- рецензии на ВКР;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</w:r>
    </w:p>
    <w:p>
      <w:pPr>
        <w:ind w:left="-284" w:right="-144"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- протокола предварительной защиты дипломного проекта.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</w:r>
    </w:p>
    <w:p>
      <w:pPr>
        <w:ind w:left="-284" w:right="-144"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eastAsia="en-US"/>
        </w:rPr>
        <w:t xml:space="preserve">Требования к ВКР (дипломному проекту).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 ВКР представляет собой законченное исследование одной из общих или частных проблем профессиональной деятельности, выносимое для публичной защиты. ВКР должна содержать обоснование актуальности те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мы и выбора методов исследования, раскрытие сути проблемы на основе критического анализа основной литературы по избранной теме, результаты собственного анализа собранных материалов, а также предложения по практическому применению результатов исследования. 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</w:r>
    </w:p>
    <w:p>
      <w:pPr>
        <w:ind w:left="-284" w:right="-144"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Структура ВКР (дипломного проекта) зависит от тематического направления. Поэтому конкретное содержание и построение пояснительной записки и графического материала регламентируются утвержденным заданием на разработку проекта.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</w:r>
    </w:p>
    <w:p>
      <w:pPr>
        <w:ind w:left="-284" w:right="-144"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Дипломный проект состоит из пояснительной записки и графического материала. Общий объем пояснительной записки 90 - 120 листов формата А4, включая расчеты с гра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фиками и схемами. При выполнении текста пояснительной записки на компьютере число листов может быть уменьшено из-за более плотного набора текста по сравнению с рукописным. Графическая часть состоит из 7 - 10 листов чертежей-плакатов стандартного формата А1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 (или слайдов при защите ВКР с использованием мультимедийного оборудования)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.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</w:r>
    </w:p>
    <w:p>
      <w:pPr>
        <w:ind w:left="-284" w:right="-144"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Полностью оформленная пояснительная записка дипломного проекта должна содержать: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</w:r>
    </w:p>
    <w:p>
      <w:pPr>
        <w:ind w:left="-284" w:right="-144"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- титульный лист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</w:r>
    </w:p>
    <w:p>
      <w:pPr>
        <w:ind w:left="-284" w:right="-144"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- задание на дипломный проект;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</w:r>
    </w:p>
    <w:p>
      <w:pPr>
        <w:ind w:left="-284" w:right="-144"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- календарный план выполнения проекта;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</w:r>
    </w:p>
    <w:p>
      <w:pPr>
        <w:ind w:left="-284" w:right="-144"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- реферат;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</w:r>
    </w:p>
    <w:p>
      <w:pPr>
        <w:ind w:left="-284" w:right="-144"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- содержание (оглавление); 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</w:r>
    </w:p>
    <w:p>
      <w:pPr>
        <w:ind w:left="-284" w:right="-144"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- введение;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</w:r>
    </w:p>
    <w:p>
      <w:pPr>
        <w:ind w:left="-284" w:right="-144"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- анализ научно-технической и патентной информации (патентный поиск);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</w:r>
    </w:p>
    <w:p>
      <w:pPr>
        <w:ind w:left="-284" w:right="-144"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- организационно-технологическую часть (основной раздел);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</w:r>
    </w:p>
    <w:p>
      <w:pPr>
        <w:ind w:left="-284" w:right="-144"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- конструкторско-исследовательскую часть (деталь проекта);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</w:r>
    </w:p>
    <w:p>
      <w:pPr>
        <w:ind w:left="-284" w:right="-144"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- технико-экономическую часть;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</w:r>
    </w:p>
    <w:p>
      <w:pPr>
        <w:ind w:left="-284" w:right="-144"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- раздел по охране труда и технике безопасности;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</w:r>
    </w:p>
    <w:p>
      <w:pPr>
        <w:ind w:left="-284" w:right="-144"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- раздел по гражданской обороне;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</w:r>
    </w:p>
    <w:p>
      <w:pPr>
        <w:ind w:left="-284" w:right="-144"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- заключение;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</w:r>
    </w:p>
    <w:p>
      <w:pPr>
        <w:ind w:left="-284" w:right="-144"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- список использованных источников;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</w:r>
    </w:p>
    <w:p>
      <w:pPr>
        <w:ind w:left="-284" w:right="-144"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- приложения (при наличии).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</w:r>
    </w:p>
    <w:p>
      <w:pPr>
        <w:ind w:left="-284" w:right="-144"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Выполнение перечисленных разделов является обязательным, если это предусмотрено заданием на проект. В отдельных случаях количество и порядок   расположения разделов могут быть изменены руководителем проекта.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</w:r>
    </w:p>
    <w:p>
      <w:pPr>
        <w:ind w:left="-284" w:right="-144"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Пояснительная записка и графическая часть дипломного проекта проверяются закрепленным кафедрой преподавателем на соответствие требованиям к оформлению (ГОСТ, ЕСКД, локальные акты университета, методические указания, разработанные кафедрой).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</w:r>
    </w:p>
    <w:p>
      <w:pPr>
        <w:ind w:left="-284" w:right="-144"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При проведении защиты ВКР допускается использование мультимедийных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 средств (для презентации графического материала и разработок дипломного проекта). В этом случае графический материал представляется в формате А4, наличие подписей руководителя (консультантов), рецензента и заведующего кафедрой также является обязательным.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</w:r>
    </w:p>
    <w:p>
      <w:pPr>
        <w:ind w:left="-284" w:right="-144" w:firstLine="709"/>
        <w:jc w:val="both"/>
        <w:spacing w:after="0" w:line="240" w:lineRule="auto"/>
        <w:rPr>
          <w:rFonts w:ascii="Times New Roman" w:hAnsi="Times New Roman" w:eastAsia="Calibri" w:cs="Times New Roman"/>
          <w:b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b/>
          <w:sz w:val="24"/>
          <w:szCs w:val="24"/>
          <w:lang w:eastAsia="en-US"/>
        </w:rPr>
        <w:t xml:space="preserve">Описание процедуры «Защита дипломного проекта»</w:t>
      </w:r>
      <w:r>
        <w:rPr>
          <w:rFonts w:ascii="Times New Roman" w:hAnsi="Times New Roman" w:eastAsia="Calibri" w:cs="Times New Roman"/>
          <w:b/>
          <w:sz w:val="24"/>
          <w:szCs w:val="24"/>
          <w:lang w:eastAsia="en-US"/>
        </w:rPr>
      </w:r>
    </w:p>
    <w:p>
      <w:pPr>
        <w:ind w:left="-284" w:right="-144"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Защита ВКР осуществляется в соответствии с графиком проведения ГИА, утверждаемом за 30 дней до даты проведения первого дня ГИА. 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</w:r>
    </w:p>
    <w:p>
      <w:pPr>
        <w:ind w:left="-284" w:right="-144"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Защита ВКР начинается с доклада студента по теме ВКР. На доклад отводится не более 10 минут. Студент должен изла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гать основное содержание ВКР свободно, не читая письменного текста. В процессе доклада может использоваться компьютерная презентация работы, подготовленный наглядный графический (таблицы, схемы) или иной материал, иллюстрирующий основные положения работы. 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</w:r>
    </w:p>
    <w:p>
      <w:pPr>
        <w:ind w:left="-284" w:right="-144"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Доклад следует начинать с обоснования актуальности избранной темы, описания научной проблемы и формулировки цели работы, а затем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, в последовательности, установленной логикой проведенного исследования, по разделам ВКР раскрывать основное содержание работы, обращая особое внимание на наиболее важные разделы и интересные результаты, новизну работы, критические сопоставления и оценки. 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</w:r>
    </w:p>
    <w:p>
      <w:pPr>
        <w:ind w:left="-284" w:right="-144"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Заключительная часть доклада строится по тексту заключения ВКР, перечисляются общие выводы из ее текста без повторения частных обобщений, сделанных при характеристике разделов основной части, собираются воедино основные рекомендации.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</w:r>
    </w:p>
    <w:p>
      <w:pPr>
        <w:ind w:left="-284" w:right="-144"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После завершения доклада члены ГЭК задают студенту вопросы, как непосредственно связанные с темой ВКР, так и близко к ней относящиеся. При ответах на вопросы студент имеет право пользоваться своей работой.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</w:r>
    </w:p>
    <w:p>
      <w:pPr>
        <w:ind w:left="-284" w:right="-144" w:firstLine="709"/>
        <w:jc w:val="both"/>
        <w:spacing w:after="0" w:line="240" w:lineRule="auto"/>
        <w:widowControl w:val="off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Затем слово предоставляется руководителю, который дает характеристику работы. При отсутствии руководителя отзыв зачитывает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ся секретарем ГЭК. На замечания руководителя выпускник должен дать аргументированный ответ. Далее, секретарь зачитывает рецензию и замечания рецензента, на которые выпускник также должен дать аргументированный ответ. Председатель ГЭК просит присутствующих 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выступить по существу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 выпускной работы. В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ыступления членов комиссии и присутствующих на защите (до 2-3 мин. на одного выступающего) в порядке свободной дискуссии и обмена мнениями не являются обязательным элементом процедуры, поэтому, в случае отсутствия желающих выступить, он может быть опущен. 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</w:r>
    </w:p>
    <w:p>
      <w:pPr>
        <w:ind w:left="-284" w:right="-144" w:firstLine="709"/>
        <w:jc w:val="both"/>
        <w:spacing w:after="0" w:line="240" w:lineRule="auto"/>
        <w:widowControl w:val="off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eastAsia="Calibri" w:cs="Times New Roman"/>
          <w:sz w:val="24"/>
          <w:szCs w:val="24"/>
          <w:lang w:eastAsia="en-US"/>
        </w:rPr>
        <w:t xml:space="preserve">После дискуссии по теме работы автор выступает с заключительным словом. Этика защиты предписывает при этом выразить благодарность руководителю, а также членам ГЭК и всем присутствующим за внимание.</w:t>
      </w:r>
      <w:r>
        <w:rPr>
          <w:rFonts w:ascii="Times New Roman" w:hAnsi="Times New Roman" w:eastAsia="Calibri" w:cs="Times New Roman"/>
          <w:sz w:val="24"/>
          <w:szCs w:val="24"/>
          <w:lang w:eastAsia="en-US"/>
        </w:rPr>
      </w:r>
    </w:p>
    <w:p>
      <w:pPr>
        <w:ind w:left="-284" w:right="-144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Результаты защиты дипломного проекта объявляются председателем ГЭК в день ее проведения. 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-284" w:right="-144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-284" w:right="-144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-284" w:right="-144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-284" w:right="-144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  <w:sectPr>
          <w:footnotePr/>
          <w:endnotePr/>
          <w:type w:val="nextPage"/>
          <w:pgSz w:w="11906" w:h="16838" w:orient="portrait"/>
          <w:pgMar w:top="851" w:right="851" w:bottom="851" w:left="1134" w:header="709" w:footer="709" w:gutter="0"/>
          <w:pgNumType w:start="1"/>
          <w:cols w:num="1" w:sep="0" w:space="708" w:equalWidth="1"/>
          <w:docGrid w:linePitch="360"/>
          <w:titlePg/>
        </w:sect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left="127" w:right="63" w:firstLine="17"/>
        <w:jc w:val="center"/>
        <w:spacing w:after="33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7" w:h="16839" w:orient="portrait"/>
      <w:pgMar w:top="567" w:right="567" w:bottom="567" w:left="567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  <w:endnote w:type="continuationNotice" w:id="1">
    <w:p>
      <w:pPr>
        <w:spacing w:after="0"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NewRomanPSMT"/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Calibri">
    <w:panose1 w:val="020F0502020204030204"/>
  </w:font>
  <w:font w:name="Tahoma">
    <w:panose1 w:val="020B0506030602030204"/>
  </w:font>
  <w:font w:name="Malgun Gothic">
    <w:panose1 w:val="020B060303080402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type="continuationNotice" w:id="1">
    <w:p>
      <w:pPr>
        <w:spacing w:after="0" w:line="240" w:lineRule="auto"/>
      </w:pPr>
      <w:r/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840" w:hanging="360"/>
        <w:tabs>
          <w:tab w:val="num" w:pos="384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4560" w:hanging="360"/>
        <w:tabs>
          <w:tab w:val="num" w:pos="45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5280" w:hanging="180"/>
        <w:tabs>
          <w:tab w:val="num" w:pos="52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6000" w:hanging="360"/>
        <w:tabs>
          <w:tab w:val="num" w:pos="60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6720" w:hanging="360"/>
        <w:tabs>
          <w:tab w:val="num" w:pos="67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7440" w:hanging="180"/>
        <w:tabs>
          <w:tab w:val="num" w:pos="74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8160" w:hanging="360"/>
        <w:tabs>
          <w:tab w:val="num" w:pos="81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8880" w:hanging="360"/>
        <w:tabs>
          <w:tab w:val="num" w:pos="88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9600" w:hanging="180"/>
        <w:tabs>
          <w:tab w:val="num" w:pos="9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9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7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4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1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8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3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054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-6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65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37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09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281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53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25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497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694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8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9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7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4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1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8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3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054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2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44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16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88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60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32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04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76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484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1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9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9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7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4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1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8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3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054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64" w:hanging="108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35"/>
  </w:num>
  <w:num w:numId="3">
    <w:abstractNumId w:val="17"/>
  </w:num>
  <w:num w:numId="4">
    <w:abstractNumId w:val="27"/>
  </w:num>
  <w:num w:numId="5">
    <w:abstractNumId w:val="9"/>
  </w:num>
  <w:num w:numId="6">
    <w:abstractNumId w:val="19"/>
  </w:num>
  <w:num w:numId="7">
    <w:abstractNumId w:val="34"/>
  </w:num>
  <w:num w:numId="8">
    <w:abstractNumId w:val="33"/>
  </w:num>
  <w:num w:numId="9">
    <w:abstractNumId w:val="6"/>
  </w:num>
  <w:num w:numId="10">
    <w:abstractNumId w:val="30"/>
  </w:num>
  <w:num w:numId="11">
    <w:abstractNumId w:val="38"/>
  </w:num>
  <w:num w:numId="12">
    <w:abstractNumId w:val="12"/>
  </w:num>
  <w:num w:numId="13">
    <w:abstractNumId w:val="7"/>
  </w:num>
  <w:num w:numId="14">
    <w:abstractNumId w:val="14"/>
  </w:num>
  <w:num w:numId="15">
    <w:abstractNumId w:val="3"/>
  </w:num>
  <w:num w:numId="16">
    <w:abstractNumId w:val="24"/>
  </w:num>
  <w:num w:numId="17">
    <w:abstractNumId w:val="39"/>
  </w:num>
  <w:num w:numId="18">
    <w:abstractNumId w:val="29"/>
  </w:num>
  <w:num w:numId="19">
    <w:abstractNumId w:val="23"/>
  </w:num>
  <w:num w:numId="20">
    <w:abstractNumId w:val="18"/>
  </w:num>
  <w:num w:numId="21">
    <w:abstractNumId w:val="32"/>
  </w:num>
  <w:num w:numId="22">
    <w:abstractNumId w:val="1"/>
  </w:num>
  <w:num w:numId="23">
    <w:abstractNumId w:val="4"/>
  </w:num>
  <w:num w:numId="24">
    <w:abstractNumId w:val="5"/>
  </w:num>
  <w:num w:numId="25">
    <w:abstractNumId w:val="20"/>
  </w:num>
  <w:num w:numId="26">
    <w:abstractNumId w:val="28"/>
  </w:num>
  <w:num w:numId="27">
    <w:abstractNumId w:val="26"/>
  </w:num>
  <w:num w:numId="28">
    <w:abstractNumId w:val="37"/>
  </w:num>
  <w:num w:numId="29">
    <w:abstractNumId w:val="21"/>
  </w:num>
  <w:num w:numId="30">
    <w:abstractNumId w:val="25"/>
  </w:num>
  <w:num w:numId="31">
    <w:abstractNumId w:val="41"/>
  </w:num>
  <w:num w:numId="32">
    <w:abstractNumId w:val="36"/>
  </w:num>
  <w:num w:numId="33">
    <w:abstractNumId w:val="42"/>
  </w:num>
  <w:num w:numId="34">
    <w:abstractNumId w:val="0"/>
  </w:num>
  <w:num w:numId="35">
    <w:abstractNumId w:val="31"/>
  </w:num>
  <w:num w:numId="36">
    <w:abstractNumId w:val="22"/>
  </w:num>
  <w:num w:numId="37">
    <w:abstractNumId w:val="13"/>
  </w:num>
  <w:num w:numId="38">
    <w:abstractNumId w:val="40"/>
  </w:num>
  <w:num w:numId="39">
    <w:abstractNumId w:val="16"/>
  </w:num>
  <w:num w:numId="40">
    <w:abstractNumId w:val="10"/>
  </w:num>
  <w:num w:numId="41">
    <w:abstractNumId w:val="15"/>
  </w:num>
  <w:num w:numId="42">
    <w:abstractNumId w:val="11"/>
  </w:num>
  <w:num w:numId="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758"/>
    <w:next w:val="758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76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58"/>
    <w:next w:val="758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761"/>
    <w:link w:val="1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61"/>
    <w:link w:val="759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58"/>
    <w:next w:val="758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6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58"/>
    <w:next w:val="758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61"/>
    <w:link w:val="21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761"/>
    <w:link w:val="760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58"/>
    <w:next w:val="758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6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58"/>
    <w:next w:val="758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6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58"/>
    <w:next w:val="758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6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58"/>
    <w:next w:val="758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61"/>
    <w:link w:val="34"/>
    <w:uiPriority w:val="10"/>
    <w:rPr>
      <w:sz w:val="48"/>
      <w:szCs w:val="48"/>
    </w:rPr>
  </w:style>
  <w:style w:type="paragraph" w:styleId="36">
    <w:name w:val="Subtitle"/>
    <w:basedOn w:val="758"/>
    <w:next w:val="758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61"/>
    <w:link w:val="36"/>
    <w:uiPriority w:val="11"/>
    <w:rPr>
      <w:sz w:val="24"/>
      <w:szCs w:val="24"/>
    </w:rPr>
  </w:style>
  <w:style w:type="paragraph" w:styleId="38">
    <w:name w:val="Quote"/>
    <w:basedOn w:val="758"/>
    <w:next w:val="758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58"/>
    <w:next w:val="758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61"/>
    <w:link w:val="778"/>
    <w:uiPriority w:val="99"/>
  </w:style>
  <w:style w:type="character" w:styleId="45">
    <w:name w:val="Footer Char"/>
    <w:basedOn w:val="761"/>
    <w:link w:val="780"/>
    <w:uiPriority w:val="99"/>
  </w:style>
  <w:style w:type="paragraph" w:styleId="46">
    <w:name w:val="Caption"/>
    <w:basedOn w:val="758"/>
    <w:next w:val="75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780"/>
    <w:uiPriority w:val="99"/>
  </w:style>
  <w:style w:type="table" w:styleId="49">
    <w:name w:val="Table Grid Light"/>
    <w:basedOn w:val="76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6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6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775"/>
    <w:uiPriority w:val="99"/>
    <w:rPr>
      <w:sz w:val="18"/>
    </w:rPr>
  </w:style>
  <w:style w:type="paragraph" w:styleId="178">
    <w:name w:val="endnote text"/>
    <w:basedOn w:val="758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61"/>
    <w:uiPriority w:val="99"/>
    <w:semiHidden/>
    <w:unhideWhenUsed/>
    <w:rPr>
      <w:vertAlign w:val="superscript"/>
    </w:rPr>
  </w:style>
  <w:style w:type="paragraph" w:styleId="181">
    <w:name w:val="toc 1"/>
    <w:basedOn w:val="758"/>
    <w:next w:val="758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58"/>
    <w:next w:val="758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58"/>
    <w:next w:val="758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58"/>
    <w:next w:val="758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58"/>
    <w:next w:val="758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58"/>
    <w:next w:val="758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58"/>
    <w:next w:val="758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58"/>
    <w:next w:val="758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58"/>
    <w:next w:val="758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58"/>
    <w:next w:val="758"/>
    <w:uiPriority w:val="99"/>
    <w:unhideWhenUsed/>
    <w:pPr>
      <w:spacing w:after="0" w:afterAutospacing="0"/>
    </w:pPr>
  </w:style>
  <w:style w:type="paragraph" w:styleId="758" w:default="1">
    <w:name w:val="Normal"/>
    <w:qFormat/>
  </w:style>
  <w:style w:type="paragraph" w:styleId="759">
    <w:name w:val="Heading 3"/>
    <w:basedOn w:val="758"/>
    <w:next w:val="758"/>
    <w:link w:val="788"/>
    <w:uiPriority w:val="9"/>
    <w:semiHidden/>
    <w:unhideWhenUsed/>
    <w:qFormat/>
    <w:pPr>
      <w:keepLines/>
      <w:keepNext/>
      <w:spacing w:before="40" w:after="0"/>
      <w:outlineLvl w:val="2"/>
    </w:pPr>
    <w:rPr>
      <w:rFonts w:asciiTheme="majorHAnsi" w:hAnsiTheme="majorHAnsi" w:eastAsiaTheme="majorEastAsia" w:cstheme="majorBidi"/>
      <w:color w:val="243f60" w:themeColor="accent1" w:themeShade="7F"/>
      <w:sz w:val="24"/>
      <w:szCs w:val="24"/>
    </w:rPr>
  </w:style>
  <w:style w:type="paragraph" w:styleId="760">
    <w:name w:val="Heading 6"/>
    <w:basedOn w:val="758"/>
    <w:link w:val="787"/>
    <w:uiPriority w:val="9"/>
    <w:qFormat/>
    <w:pPr>
      <w:spacing w:before="100" w:beforeAutospacing="1" w:after="100" w:afterAutospacing="1" w:line="240" w:lineRule="auto"/>
      <w:outlineLvl w:val="5"/>
    </w:pPr>
    <w:rPr>
      <w:rFonts w:ascii="Times New Roman" w:hAnsi="Times New Roman" w:eastAsia="Times New Roman" w:cs="Times New Roman"/>
      <w:b/>
      <w:bCs/>
      <w:sz w:val="15"/>
      <w:szCs w:val="15"/>
    </w:rPr>
  </w:style>
  <w:style w:type="character" w:styleId="761" w:default="1">
    <w:name w:val="Default Paragraph Font"/>
    <w:uiPriority w:val="1"/>
    <w:semiHidden/>
    <w:unhideWhenUsed/>
  </w:style>
  <w:style w:type="table" w:styleId="76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63" w:default="1">
    <w:name w:val="No List"/>
    <w:uiPriority w:val="99"/>
    <w:semiHidden/>
    <w:unhideWhenUsed/>
  </w:style>
  <w:style w:type="table" w:styleId="764" w:customStyle="1">
    <w:name w:val="TableStyle0"/>
    <w:pPr>
      <w:spacing w:after="0" w:line="240" w:lineRule="auto"/>
    </w:pPr>
    <w:rPr>
      <w:rFonts w:ascii="Arial" w:hAnsi="Arial"/>
      <w:sz w:val="16"/>
    </w:rPr>
    <w:tblPr>
      <w:tblCellMar>
        <w:left w:w="0" w:type="dxa"/>
        <w:top w:w="0" w:type="dxa"/>
        <w:right w:w="0" w:type="dxa"/>
        <w:bottom w:w="0" w:type="dxa"/>
      </w:tblCellMar>
    </w:tblPr>
  </w:style>
  <w:style w:type="character" w:styleId="765">
    <w:name w:val="Strong"/>
    <w:basedOn w:val="761"/>
    <w:uiPriority w:val="22"/>
    <w:qFormat/>
    <w:rPr>
      <w:b/>
      <w:bCs/>
    </w:rPr>
  </w:style>
  <w:style w:type="paragraph" w:styleId="766">
    <w:name w:val="Balloon Text"/>
    <w:basedOn w:val="758"/>
    <w:link w:val="76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767" w:customStyle="1">
    <w:name w:val="Текст выноски Знак"/>
    <w:basedOn w:val="761"/>
    <w:link w:val="766"/>
    <w:uiPriority w:val="99"/>
    <w:semiHidden/>
    <w:rPr>
      <w:rFonts w:ascii="Tahoma" w:hAnsi="Tahoma" w:cs="Tahoma"/>
      <w:sz w:val="16"/>
      <w:szCs w:val="16"/>
    </w:rPr>
  </w:style>
  <w:style w:type="paragraph" w:styleId="768">
    <w:name w:val="List Paragraph"/>
    <w:basedOn w:val="758"/>
    <w:uiPriority w:val="34"/>
    <w:qFormat/>
    <w:pPr>
      <w:contextualSpacing/>
      <w:ind w:left="720"/>
    </w:pPr>
    <w:rPr>
      <w:rFonts w:ascii="Calibri" w:hAnsi="Calibri" w:eastAsia="Times New Roman" w:cs="Times New Roman"/>
      <w:lang w:eastAsia="en-US"/>
    </w:rPr>
  </w:style>
  <w:style w:type="character" w:styleId="769">
    <w:name w:val="Hyperlink"/>
    <w:basedOn w:val="761"/>
    <w:uiPriority w:val="99"/>
    <w:unhideWhenUsed/>
    <w:rPr>
      <w:color w:val="0000ff"/>
      <w:u w:val="single"/>
    </w:rPr>
  </w:style>
  <w:style w:type="character" w:styleId="770" w:customStyle="1">
    <w:name w:val="short_author"/>
    <w:basedOn w:val="761"/>
  </w:style>
  <w:style w:type="character" w:styleId="771" w:customStyle="1">
    <w:name w:val="short_name"/>
    <w:basedOn w:val="761"/>
  </w:style>
  <w:style w:type="paragraph" w:styleId="772">
    <w:name w:val="Body Text"/>
    <w:basedOn w:val="758"/>
    <w:link w:val="773"/>
    <w:semiHidden/>
    <w:unhideWhenUsed/>
    <w:pPr>
      <w:spacing w:after="140" w:line="288" w:lineRule="auto"/>
    </w:pPr>
    <w:rPr>
      <w:rFonts w:ascii="Calibri" w:hAnsi="Calibri" w:eastAsia="Calibri" w:cs="Times New Roman"/>
      <w:lang w:eastAsia="zh-CN"/>
    </w:rPr>
  </w:style>
  <w:style w:type="character" w:styleId="773" w:customStyle="1">
    <w:name w:val="Основной текст Знак"/>
    <w:basedOn w:val="761"/>
    <w:link w:val="772"/>
    <w:semiHidden/>
    <w:rPr>
      <w:rFonts w:ascii="Calibri" w:hAnsi="Calibri" w:eastAsia="Calibri" w:cs="Times New Roman"/>
      <w:lang w:eastAsia="zh-CN"/>
    </w:rPr>
  </w:style>
  <w:style w:type="table" w:styleId="774">
    <w:name w:val="Table Grid"/>
    <w:basedOn w:val="76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775">
    <w:name w:val="footnote text"/>
    <w:basedOn w:val="758"/>
    <w:link w:val="77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776" w:customStyle="1">
    <w:name w:val="Текст сноски Знак"/>
    <w:basedOn w:val="761"/>
    <w:link w:val="775"/>
    <w:uiPriority w:val="99"/>
    <w:semiHidden/>
    <w:rPr>
      <w:sz w:val="20"/>
      <w:szCs w:val="20"/>
    </w:rPr>
  </w:style>
  <w:style w:type="character" w:styleId="777">
    <w:name w:val="footnote reference"/>
    <w:basedOn w:val="761"/>
    <w:uiPriority w:val="99"/>
    <w:semiHidden/>
    <w:unhideWhenUsed/>
    <w:rPr>
      <w:vertAlign w:val="superscript"/>
    </w:rPr>
  </w:style>
  <w:style w:type="paragraph" w:styleId="778">
    <w:name w:val="Header"/>
    <w:basedOn w:val="758"/>
    <w:link w:val="779"/>
    <w:uiPriority w:val="99"/>
    <w:semiHidden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79" w:customStyle="1">
    <w:name w:val="Верхний колонтитул Знак"/>
    <w:basedOn w:val="761"/>
    <w:link w:val="778"/>
    <w:uiPriority w:val="99"/>
    <w:semiHidden/>
  </w:style>
  <w:style w:type="paragraph" w:styleId="780">
    <w:name w:val="Footer"/>
    <w:basedOn w:val="758"/>
    <w:link w:val="781"/>
    <w:uiPriority w:val="99"/>
    <w:semiHidden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81" w:customStyle="1">
    <w:name w:val="Нижний колонтитул Знак"/>
    <w:basedOn w:val="761"/>
    <w:link w:val="780"/>
    <w:uiPriority w:val="99"/>
    <w:semiHidden/>
  </w:style>
  <w:style w:type="paragraph" w:styleId="782" w:customStyle="1">
    <w:name w:val="s_1"/>
    <w:basedOn w:val="75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783" w:customStyle="1">
    <w:name w:val="Table Grid"/>
    <w:pPr>
      <w:spacing w:after="0" w:line="240" w:lineRule="auto"/>
    </w:pPr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784" w:customStyle="1">
    <w:name w:val="quiz-card__answer"/>
    <w:basedOn w:val="75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785">
    <w:name w:val="Normal (Web)"/>
    <w:basedOn w:val="758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786" w:customStyle="1">
    <w:name w:val="questiontext"/>
    <w:basedOn w:val="75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787" w:customStyle="1">
    <w:name w:val="Заголовок 6 Знак"/>
    <w:basedOn w:val="761"/>
    <w:link w:val="760"/>
    <w:uiPriority w:val="9"/>
    <w:rPr>
      <w:rFonts w:ascii="Times New Roman" w:hAnsi="Times New Roman" w:eastAsia="Times New Roman" w:cs="Times New Roman"/>
      <w:b/>
      <w:bCs/>
      <w:sz w:val="15"/>
      <w:szCs w:val="15"/>
    </w:rPr>
  </w:style>
  <w:style w:type="character" w:styleId="788" w:customStyle="1">
    <w:name w:val="Заголовок 3 Знак"/>
    <w:basedOn w:val="761"/>
    <w:link w:val="759"/>
    <w:uiPriority w:val="9"/>
    <w:semiHidden/>
    <w:rPr>
      <w:rFonts w:asciiTheme="majorHAnsi" w:hAnsiTheme="majorHAnsi" w:eastAsiaTheme="majorEastAsia" w:cstheme="majorBidi"/>
      <w:color w:val="243f60" w:themeColor="accent1" w:themeShade="7F"/>
      <w:sz w:val="24"/>
      <w:szCs w:val="24"/>
    </w:rPr>
  </w:style>
  <w:style w:type="character" w:styleId="789" w:customStyle="1">
    <w:name w:val="Основной текст_"/>
    <w:basedOn w:val="761"/>
    <w:link w:val="795"/>
    <w:rPr>
      <w:rFonts w:ascii="Times New Roman" w:hAnsi="Times New Roman" w:eastAsia="Times New Roman" w:cs="Times New Roman"/>
      <w:shd w:val="clear" w:color="auto" w:fill="ffffff"/>
    </w:rPr>
  </w:style>
  <w:style w:type="character" w:styleId="790" w:customStyle="1">
    <w:name w:val="Основной текст (9)_"/>
    <w:basedOn w:val="761"/>
    <w:rPr>
      <w:rFonts w:ascii="Times New Roman" w:hAnsi="Times New Roman" w:eastAsia="Times New Roman" w:cs="Times New Roman"/>
      <w:b/>
      <w:bCs/>
      <w:i/>
      <w:iCs/>
      <w:smallCaps w:val="0"/>
      <w:strike w:val="0"/>
      <w:u w:val="none"/>
    </w:rPr>
  </w:style>
  <w:style w:type="character" w:styleId="791" w:customStyle="1">
    <w:name w:val="Основной текст (9)"/>
    <w:basedOn w:val="790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single"/>
      <w:lang w:val="ru-RU"/>
    </w:rPr>
  </w:style>
  <w:style w:type="character" w:styleId="792" w:customStyle="1">
    <w:name w:val="Основной текст + Полужирный;Курсив"/>
    <w:basedOn w:val="789"/>
    <w:rPr>
      <w:rFonts w:ascii="Times New Roman" w:hAnsi="Times New Roman" w:eastAsia="Times New Roman" w:cs="Times New Roman"/>
      <w:b/>
      <w:bCs/>
      <w:i/>
      <w:iCs/>
      <w:color w:val="000000"/>
      <w:spacing w:val="0"/>
      <w:position w:val="0"/>
      <w:sz w:val="24"/>
      <w:szCs w:val="24"/>
      <w:shd w:val="clear" w:color="auto" w:fill="ffffff"/>
      <w:lang w:val="ru-RU"/>
    </w:rPr>
  </w:style>
  <w:style w:type="character" w:styleId="793" w:customStyle="1">
    <w:name w:val="Основной текст + Полужирный"/>
    <w:basedOn w:val="789"/>
    <w:rPr>
      <w:rFonts w:ascii="Times New Roman" w:hAnsi="Times New Roman" w:eastAsia="Times New Roman" w:cs="Times New Roman"/>
      <w:b/>
      <w:bCs/>
      <w:color w:val="000000"/>
      <w:spacing w:val="0"/>
      <w:position w:val="0"/>
      <w:sz w:val="24"/>
      <w:szCs w:val="24"/>
      <w:shd w:val="clear" w:color="auto" w:fill="ffffff"/>
      <w:lang w:val="ru-RU"/>
    </w:rPr>
  </w:style>
  <w:style w:type="character" w:styleId="794" w:customStyle="1">
    <w:name w:val="Основной текст (9) + Не полужирный;Не курсив"/>
    <w:basedOn w:val="790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single"/>
      <w:lang w:val="ru-RU"/>
    </w:rPr>
  </w:style>
  <w:style w:type="paragraph" w:styleId="795" w:customStyle="1">
    <w:name w:val="Основной текст7"/>
    <w:basedOn w:val="758"/>
    <w:link w:val="789"/>
    <w:pPr>
      <w:ind w:hanging="560"/>
      <w:spacing w:before="480" w:after="2460" w:line="0" w:lineRule="atLeas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character" w:styleId="796" w:customStyle="1">
    <w:name w:val="Основной текст4"/>
    <w:basedOn w:val="789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single"/>
      <w:shd w:val="clear" w:color="auto" w:fill="ffffff"/>
      <w:lang w:val="ru-RU"/>
    </w:rPr>
  </w:style>
  <w:style w:type="character" w:styleId="797" w:customStyle="1">
    <w:name w:val="Заголовок №2_"/>
    <w:basedOn w:val="761"/>
    <w:link w:val="798"/>
    <w:rPr>
      <w:rFonts w:ascii="Malgun Gothic" w:hAnsi="Malgun Gothic" w:eastAsia="Malgun Gothic" w:cs="Malgun Gothic"/>
      <w:b/>
      <w:bCs/>
      <w:spacing w:val="20"/>
      <w:shd w:val="clear" w:color="auto" w:fill="ffffff"/>
    </w:rPr>
  </w:style>
  <w:style w:type="paragraph" w:styleId="798" w:customStyle="1">
    <w:name w:val="Заголовок №2"/>
    <w:basedOn w:val="758"/>
    <w:link w:val="797"/>
    <w:pPr>
      <w:jc w:val="both"/>
      <w:spacing w:after="240" w:line="0" w:lineRule="atLeast"/>
      <w:shd w:val="clear" w:color="auto" w:fill="ffffff"/>
      <w:widowControl w:val="off"/>
      <w:outlineLvl w:val="1"/>
    </w:pPr>
    <w:rPr>
      <w:rFonts w:ascii="Malgun Gothic" w:hAnsi="Malgun Gothic" w:eastAsia="Malgun Gothic" w:cs="Malgun Gothic"/>
      <w:b/>
      <w:bCs/>
      <w:spacing w:val="20"/>
    </w:rPr>
  </w:style>
  <w:style w:type="character" w:styleId="799" w:customStyle="1">
    <w:name w:val="Основной текст (8)_"/>
    <w:basedOn w:val="761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u w:val="none"/>
    </w:rPr>
  </w:style>
  <w:style w:type="character" w:styleId="800" w:customStyle="1">
    <w:name w:val="Основной текст (8)"/>
    <w:basedOn w:val="799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4"/>
      <w:szCs w:val="24"/>
      <w:u w:val="single"/>
      <w:lang w:val="ru-RU"/>
    </w:rPr>
  </w:style>
  <w:style w:type="table" w:styleId="801" w:customStyle="1">
    <w:name w:val="Сетка таблицы1"/>
    <w:basedOn w:val="762"/>
    <w:next w:val="774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Relationship Id="rId11" Type="http://schemas.openxmlformats.org/officeDocument/2006/relationships/customXml" Target="../customXml/item3.xml" /><Relationship Id="rId12" Type="http://schemas.openxmlformats.org/officeDocument/2006/relationships/customXml" Target="../customXml/item4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FD6993-B5D1-42B8-83B8-D7988F1113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программ ВО Отдел образовательных</cp:lastModifiedBy>
  <cp:revision>3</cp:revision>
  <dcterms:created xsi:type="dcterms:W3CDTF">2025-07-04T06:19:00Z</dcterms:created>
  <dcterms:modified xsi:type="dcterms:W3CDTF">2026-05-28T11:55:26Z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